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EFB31" w14:textId="53BE3EEE" w:rsidR="00571B0A" w:rsidRPr="00EF0935" w:rsidRDefault="00571B0A" w:rsidP="00F664C0">
      <w:pPr>
        <w:spacing w:before="32" w:after="0" w:line="240" w:lineRule="auto"/>
        <w:ind w:right="-180"/>
        <w:jc w:val="right"/>
        <w:rPr>
          <w:rFonts w:eastAsia="Arial" w:cstheme="minorHAnsi"/>
          <w:b/>
        </w:rPr>
      </w:pPr>
      <w:r w:rsidRPr="00EF0935">
        <w:rPr>
          <w:noProof/>
        </w:rPr>
        <w:drawing>
          <wp:anchor distT="0" distB="0" distL="114300" distR="114300" simplePos="0" relativeHeight="251658240" behindDoc="0" locked="0" layoutInCell="1" allowOverlap="1" wp14:anchorId="30F30FA9" wp14:editId="20692F87">
            <wp:simplePos x="0" y="0"/>
            <wp:positionH relativeFrom="column">
              <wp:posOffset>-95416</wp:posOffset>
            </wp:positionH>
            <wp:positionV relativeFrom="paragraph">
              <wp:posOffset>56653</wp:posOffset>
            </wp:positionV>
            <wp:extent cx="1343771" cy="1343771"/>
            <wp:effectExtent l="0" t="0" r="8890" b="8890"/>
            <wp:wrapNone/>
            <wp:docPr id="2" name="Picture 2"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50526" cy="1350526"/>
                    </a:xfrm>
                    <a:prstGeom prst="rect">
                      <a:avLst/>
                    </a:prstGeom>
                  </pic:spPr>
                </pic:pic>
              </a:graphicData>
            </a:graphic>
            <wp14:sizeRelH relativeFrom="page">
              <wp14:pctWidth>0</wp14:pctWidth>
            </wp14:sizeRelH>
            <wp14:sizeRelV relativeFrom="page">
              <wp14:pctHeight>0</wp14:pctHeight>
            </wp14:sizeRelV>
          </wp:anchor>
        </w:drawing>
      </w:r>
      <w:r w:rsidRPr="00EF0935">
        <w:rPr>
          <w:rFonts w:eastAsia="Arial"/>
          <w:b/>
          <w:color w:val="1F1F1F"/>
        </w:rPr>
        <w:t>Crook</w:t>
      </w:r>
      <w:r w:rsidRPr="00EF0935">
        <w:rPr>
          <w:rFonts w:eastAsia="Arial"/>
          <w:b/>
          <w:color w:val="1F1F1F"/>
          <w:spacing w:val="16"/>
        </w:rPr>
        <w:t xml:space="preserve"> </w:t>
      </w:r>
      <w:r w:rsidRPr="00EF0935">
        <w:rPr>
          <w:rFonts w:eastAsia="Arial"/>
          <w:b/>
          <w:color w:val="1F1F1F"/>
          <w:w w:val="104"/>
        </w:rPr>
        <w:t>County</w:t>
      </w:r>
    </w:p>
    <w:p w14:paraId="4C872EE3" w14:textId="5D211EFB" w:rsidR="00571B0A" w:rsidRDefault="00571B0A" w:rsidP="00F664C0">
      <w:pPr>
        <w:spacing w:after="0" w:line="250" w:lineRule="exact"/>
        <w:ind w:right="-180"/>
        <w:jc w:val="right"/>
        <w:rPr>
          <w:rFonts w:eastAsia="Arial" w:cstheme="minorHAnsi"/>
          <w:b/>
          <w:color w:val="1F1F1F"/>
          <w:w w:val="102"/>
        </w:rPr>
      </w:pPr>
      <w:r w:rsidRPr="00EF0935">
        <w:rPr>
          <w:rFonts w:eastAsia="Arial" w:cstheme="minorHAnsi"/>
          <w:b/>
          <w:color w:val="1F1F1F"/>
        </w:rPr>
        <w:t xml:space="preserve">Community Development </w:t>
      </w:r>
      <w:r w:rsidRPr="00EF0935">
        <w:rPr>
          <w:rFonts w:eastAsia="Arial" w:cstheme="minorHAnsi"/>
          <w:b/>
          <w:color w:val="1F1F1F"/>
          <w:w w:val="102"/>
        </w:rPr>
        <w:t>Department</w:t>
      </w:r>
    </w:p>
    <w:p w14:paraId="0515D898" w14:textId="2C61849B" w:rsidR="00B77FA1" w:rsidRPr="00EF0935" w:rsidRDefault="00B77FA1" w:rsidP="00F664C0">
      <w:pPr>
        <w:spacing w:after="0" w:line="250" w:lineRule="exact"/>
        <w:ind w:right="-180"/>
        <w:jc w:val="right"/>
        <w:rPr>
          <w:rFonts w:eastAsia="Arial" w:cstheme="minorHAnsi"/>
          <w:b/>
          <w:color w:val="1F1F1F"/>
          <w:w w:val="102"/>
        </w:rPr>
      </w:pPr>
      <w:r>
        <w:rPr>
          <w:rFonts w:eastAsia="Arial" w:cstheme="minorHAnsi"/>
          <w:b/>
          <w:color w:val="1F1F1F"/>
          <w:w w:val="102"/>
        </w:rPr>
        <w:t>Planning Division</w:t>
      </w:r>
    </w:p>
    <w:p w14:paraId="27EB165A" w14:textId="6A53E2A9" w:rsidR="00571B0A" w:rsidRPr="00EF0935" w:rsidRDefault="00571B0A" w:rsidP="00F664C0">
      <w:pPr>
        <w:spacing w:after="0" w:line="255" w:lineRule="exact"/>
        <w:ind w:right="-180"/>
        <w:jc w:val="right"/>
        <w:rPr>
          <w:rFonts w:eastAsia="Arial" w:cstheme="minorHAnsi"/>
          <w:color w:val="1F1F1F"/>
          <w:spacing w:val="3"/>
          <w:w w:val="95"/>
        </w:rPr>
      </w:pPr>
      <w:r w:rsidRPr="00EF0935">
        <w:rPr>
          <w:rFonts w:eastAsia="Arial" w:cstheme="minorHAnsi"/>
          <w:color w:val="1F1F1F"/>
        </w:rPr>
        <w:t>300</w:t>
      </w:r>
      <w:r w:rsidRPr="00EF0935">
        <w:rPr>
          <w:rFonts w:eastAsia="Arial" w:cstheme="minorHAnsi"/>
          <w:color w:val="1F1F1F"/>
          <w:spacing w:val="-24"/>
        </w:rPr>
        <w:t xml:space="preserve"> </w:t>
      </w:r>
      <w:r w:rsidRPr="00EF0935">
        <w:rPr>
          <w:rFonts w:eastAsia="Arial" w:cstheme="minorHAnsi"/>
          <w:color w:val="313131"/>
          <w:w w:val="87"/>
        </w:rPr>
        <w:t>NE</w:t>
      </w:r>
      <w:r w:rsidRPr="00EF0935">
        <w:rPr>
          <w:rFonts w:eastAsia="Arial" w:cstheme="minorHAnsi"/>
          <w:color w:val="313131"/>
          <w:spacing w:val="15"/>
          <w:w w:val="87"/>
        </w:rPr>
        <w:t xml:space="preserve"> </w:t>
      </w:r>
      <w:r w:rsidRPr="00EF0935">
        <w:rPr>
          <w:rFonts w:eastAsia="Times New Roman" w:cstheme="minorHAnsi"/>
          <w:color w:val="1F1F1F"/>
          <w:w w:val="87"/>
        </w:rPr>
        <w:t>3rd</w:t>
      </w:r>
      <w:r w:rsidRPr="00EF0935">
        <w:rPr>
          <w:rFonts w:eastAsia="Times New Roman" w:cstheme="minorHAnsi"/>
          <w:color w:val="1F1F1F"/>
          <w:spacing w:val="-13"/>
          <w:w w:val="87"/>
        </w:rPr>
        <w:t xml:space="preserve"> </w:t>
      </w:r>
      <w:r w:rsidRPr="00EF0935">
        <w:rPr>
          <w:rFonts w:eastAsia="Arial" w:cstheme="minorHAnsi"/>
          <w:color w:val="1F1F1F"/>
          <w:w w:val="95"/>
        </w:rPr>
        <w:t>Street</w:t>
      </w:r>
      <w:r w:rsidRPr="00EF0935">
        <w:rPr>
          <w:rFonts w:eastAsia="Arial" w:cstheme="minorHAnsi"/>
          <w:color w:val="1F1F1F"/>
          <w:spacing w:val="3"/>
          <w:w w:val="95"/>
        </w:rPr>
        <w:t>, Room 12</w:t>
      </w:r>
    </w:p>
    <w:p w14:paraId="00C54674" w14:textId="77523982" w:rsidR="00571B0A" w:rsidRPr="00EF0935" w:rsidRDefault="00571B0A" w:rsidP="00F664C0">
      <w:pPr>
        <w:spacing w:after="0" w:line="255" w:lineRule="exact"/>
        <w:ind w:right="-180"/>
        <w:jc w:val="right"/>
        <w:rPr>
          <w:rFonts w:eastAsia="Times New Roman" w:cstheme="minorHAnsi"/>
        </w:rPr>
      </w:pPr>
      <w:r w:rsidRPr="00EF0935">
        <w:rPr>
          <w:rFonts w:eastAsia="Arial" w:cstheme="minorHAnsi"/>
          <w:color w:val="1F1F1F"/>
          <w:w w:val="95"/>
        </w:rPr>
        <w:t>Prineville</w:t>
      </w:r>
      <w:r w:rsidRPr="00EF0935">
        <w:rPr>
          <w:rFonts w:eastAsia="Arial" w:cstheme="minorHAnsi"/>
          <w:color w:val="1F1F1F"/>
          <w:spacing w:val="9"/>
          <w:w w:val="95"/>
        </w:rPr>
        <w:t xml:space="preserve">, </w:t>
      </w:r>
      <w:r w:rsidRPr="00EF0935">
        <w:rPr>
          <w:rFonts w:eastAsia="Arial" w:cstheme="minorHAnsi"/>
          <w:color w:val="1F1F1F"/>
          <w:w w:val="95"/>
        </w:rPr>
        <w:t xml:space="preserve">OR </w:t>
      </w:r>
      <w:r w:rsidRPr="00EF0935">
        <w:rPr>
          <w:rFonts w:eastAsia="Arial" w:cstheme="minorHAnsi"/>
          <w:color w:val="1F1F1F"/>
          <w:spacing w:val="14"/>
          <w:w w:val="95"/>
        </w:rPr>
        <w:t>9</w:t>
      </w:r>
      <w:r w:rsidRPr="00EF0935">
        <w:rPr>
          <w:rFonts w:eastAsia="Times New Roman" w:cstheme="minorHAnsi"/>
          <w:color w:val="1F1F1F"/>
          <w:w w:val="95"/>
        </w:rPr>
        <w:t>7754</w:t>
      </w:r>
    </w:p>
    <w:p w14:paraId="2B2C75C2" w14:textId="7589E7E2" w:rsidR="00571B0A" w:rsidRPr="00EF0935" w:rsidRDefault="00571B0A" w:rsidP="00F664C0">
      <w:pPr>
        <w:spacing w:before="5" w:after="0" w:line="240" w:lineRule="auto"/>
        <w:ind w:right="-180"/>
        <w:jc w:val="right"/>
        <w:rPr>
          <w:rFonts w:eastAsia="Arial" w:cstheme="minorHAnsi"/>
          <w:color w:val="1F1F1F"/>
          <w:w w:val="94"/>
          <w:lang w:val="fr-FR"/>
        </w:rPr>
      </w:pPr>
      <w:r w:rsidRPr="00EF0935">
        <w:rPr>
          <w:rFonts w:eastAsia="Arial" w:cstheme="minorHAnsi"/>
          <w:color w:val="1F1F1F"/>
          <w:w w:val="92"/>
          <w:lang w:val="fr-FR"/>
        </w:rPr>
        <w:t xml:space="preserve"> (54</w:t>
      </w:r>
      <w:r w:rsidRPr="00EF0935">
        <w:rPr>
          <w:rFonts w:eastAsia="Arial" w:cstheme="minorHAnsi"/>
          <w:color w:val="1F1F1F"/>
          <w:spacing w:val="-3"/>
          <w:w w:val="92"/>
          <w:lang w:val="fr-FR"/>
        </w:rPr>
        <w:t>1</w:t>
      </w:r>
      <w:r w:rsidRPr="00EF0935">
        <w:rPr>
          <w:rFonts w:eastAsia="Arial" w:cstheme="minorHAnsi"/>
          <w:color w:val="1F1F1F"/>
          <w:w w:val="94"/>
          <w:lang w:val="fr-FR"/>
        </w:rPr>
        <w:t>)447-3211</w:t>
      </w:r>
    </w:p>
    <w:p w14:paraId="63AE4DFF" w14:textId="78027A4D" w:rsidR="00571B0A" w:rsidRPr="00EF0935" w:rsidRDefault="00571B0A" w:rsidP="00F664C0">
      <w:pPr>
        <w:spacing w:before="5" w:after="0" w:line="240" w:lineRule="auto"/>
        <w:ind w:right="-180"/>
        <w:jc w:val="right"/>
        <w:rPr>
          <w:rStyle w:val="Hyperlink"/>
          <w:rFonts w:eastAsia="Arial" w:cstheme="minorHAnsi"/>
          <w:w w:val="94"/>
          <w:lang w:val="fr-FR"/>
        </w:rPr>
      </w:pPr>
      <w:hyperlink r:id="rId12" w:history="1">
        <w:r w:rsidRPr="00EF0935">
          <w:rPr>
            <w:rStyle w:val="Hyperlink"/>
            <w:rFonts w:eastAsia="Arial" w:cstheme="minorHAnsi"/>
            <w:w w:val="94"/>
            <w:lang w:val="fr-FR"/>
          </w:rPr>
          <w:t>plan@crookcountyor.gov</w:t>
        </w:r>
      </w:hyperlink>
    </w:p>
    <w:p w14:paraId="76F6249F" w14:textId="77777777" w:rsidR="00B30A03" w:rsidRPr="008636B4" w:rsidRDefault="00B30A03" w:rsidP="00F664C0">
      <w:pPr>
        <w:spacing w:before="5" w:after="0" w:line="240" w:lineRule="auto"/>
        <w:ind w:right="-180"/>
        <w:jc w:val="right"/>
        <w:rPr>
          <w:rStyle w:val="Hyperlink"/>
          <w:rFonts w:eastAsia="Arial" w:cstheme="minorHAnsi"/>
          <w:w w:val="94"/>
          <w:sz w:val="32"/>
          <w:szCs w:val="32"/>
          <w:lang w:val="fr-FR"/>
        </w:rPr>
      </w:pPr>
    </w:p>
    <w:p w14:paraId="3CDDDDCB" w14:textId="0B9BB46A" w:rsidR="008C054D" w:rsidRPr="00790703" w:rsidRDefault="00340FD8" w:rsidP="00F664C0">
      <w:pPr>
        <w:spacing w:before="5" w:after="0" w:line="240" w:lineRule="auto"/>
        <w:ind w:right="-180"/>
        <w:rPr>
          <w:rFonts w:ascii="Trade Gothic Next Rounded" w:hAnsi="Trade Gothic Next Rounded" w:cs="Arial"/>
          <w:color w:val="030303"/>
          <w:w w:val="105"/>
          <w:sz w:val="24"/>
          <w:szCs w:val="24"/>
        </w:rPr>
      </w:pPr>
      <w:r w:rsidRPr="00790703">
        <w:rPr>
          <w:rFonts w:ascii="Trade Gothic Next Rounded" w:hAnsi="Trade Gothic Next Rounded" w:cs="Arial"/>
          <w:b/>
          <w:bCs/>
          <w:color w:val="030303"/>
          <w:w w:val="105"/>
          <w:sz w:val="24"/>
          <w:szCs w:val="24"/>
        </w:rPr>
        <w:t>TO:</w:t>
      </w:r>
      <w:r w:rsidRPr="00790703">
        <w:rPr>
          <w:rFonts w:ascii="Trade Gothic Next Rounded" w:hAnsi="Trade Gothic Next Rounded" w:cs="Arial"/>
          <w:b/>
          <w:bCs/>
          <w:color w:val="030303"/>
          <w:w w:val="105"/>
          <w:sz w:val="24"/>
          <w:szCs w:val="24"/>
        </w:rPr>
        <w:tab/>
      </w:r>
      <w:r w:rsidR="00AB4FD9" w:rsidRPr="00790703">
        <w:rPr>
          <w:rFonts w:ascii="Trade Gothic Next Rounded" w:hAnsi="Trade Gothic Next Rounded" w:cs="Arial"/>
          <w:b/>
          <w:bCs/>
          <w:color w:val="030303"/>
          <w:w w:val="105"/>
          <w:sz w:val="24"/>
          <w:szCs w:val="24"/>
        </w:rPr>
        <w:tab/>
      </w:r>
      <w:r w:rsidR="00AB4FD9" w:rsidRPr="00790703">
        <w:rPr>
          <w:rFonts w:ascii="Trade Gothic Next Rounded" w:hAnsi="Trade Gothic Next Rounded" w:cs="Arial"/>
          <w:color w:val="030303"/>
          <w:w w:val="105"/>
          <w:sz w:val="24"/>
          <w:szCs w:val="24"/>
        </w:rPr>
        <w:t xml:space="preserve">Crook County </w:t>
      </w:r>
      <w:r w:rsidR="00AC768F">
        <w:rPr>
          <w:rFonts w:ascii="Trade Gothic Next Rounded" w:hAnsi="Trade Gothic Next Rounded" w:cs="Arial"/>
          <w:color w:val="030303"/>
          <w:w w:val="105"/>
          <w:sz w:val="24"/>
          <w:szCs w:val="24"/>
        </w:rPr>
        <w:t>Board of Commissioners</w:t>
      </w:r>
    </w:p>
    <w:p w14:paraId="4516E094" w14:textId="77777777" w:rsidR="00AB4FD9" w:rsidRPr="00790703" w:rsidRDefault="00AB4FD9" w:rsidP="00F664C0">
      <w:pPr>
        <w:spacing w:before="5" w:after="0" w:line="240" w:lineRule="auto"/>
        <w:ind w:right="-180"/>
        <w:rPr>
          <w:rFonts w:ascii="Trade Gothic Next Rounded" w:hAnsi="Trade Gothic Next Rounded" w:cs="Arial"/>
          <w:color w:val="030303"/>
          <w:w w:val="105"/>
          <w:sz w:val="24"/>
          <w:szCs w:val="24"/>
        </w:rPr>
      </w:pPr>
    </w:p>
    <w:p w14:paraId="6BCA7C27" w14:textId="3A21303B" w:rsidR="00AB4FD9" w:rsidRPr="00790703" w:rsidRDefault="00AB4FD9" w:rsidP="00F664C0">
      <w:pPr>
        <w:spacing w:before="5" w:after="0" w:line="240" w:lineRule="auto"/>
        <w:ind w:right="-180"/>
        <w:rPr>
          <w:rFonts w:ascii="Trade Gothic Next Rounded" w:hAnsi="Trade Gothic Next Rounded" w:cs="Arial"/>
          <w:color w:val="030303"/>
          <w:w w:val="105"/>
          <w:sz w:val="24"/>
          <w:szCs w:val="24"/>
        </w:rPr>
      </w:pPr>
      <w:r w:rsidRPr="00790703">
        <w:rPr>
          <w:rFonts w:ascii="Trade Gothic Next Rounded" w:hAnsi="Trade Gothic Next Rounded" w:cs="Arial"/>
          <w:b/>
          <w:bCs/>
          <w:color w:val="030303"/>
          <w:w w:val="105"/>
          <w:sz w:val="24"/>
          <w:szCs w:val="24"/>
        </w:rPr>
        <w:t>FROM:</w:t>
      </w:r>
      <w:r w:rsidRPr="00790703">
        <w:rPr>
          <w:rFonts w:ascii="Trade Gothic Next Rounded" w:hAnsi="Trade Gothic Next Rounded" w:cs="Arial"/>
          <w:b/>
          <w:bCs/>
          <w:color w:val="030303"/>
          <w:w w:val="105"/>
          <w:sz w:val="24"/>
          <w:szCs w:val="24"/>
        </w:rPr>
        <w:tab/>
      </w:r>
      <w:r w:rsidR="00B2484F" w:rsidRPr="00790703">
        <w:rPr>
          <w:rFonts w:ascii="Trade Gothic Next Rounded" w:hAnsi="Trade Gothic Next Rounded" w:cs="Arial"/>
          <w:color w:val="030303"/>
          <w:w w:val="105"/>
          <w:sz w:val="24"/>
          <w:szCs w:val="24"/>
        </w:rPr>
        <w:t>John Eisler, Community Development Director</w:t>
      </w:r>
    </w:p>
    <w:p w14:paraId="1DB4D800" w14:textId="77777777" w:rsidR="00B2484F" w:rsidRPr="00790703" w:rsidRDefault="00B2484F" w:rsidP="00F664C0">
      <w:pPr>
        <w:spacing w:before="5" w:after="0" w:line="240" w:lineRule="auto"/>
        <w:ind w:right="-180"/>
        <w:rPr>
          <w:rFonts w:ascii="Trade Gothic Next Rounded" w:hAnsi="Trade Gothic Next Rounded" w:cs="Arial"/>
          <w:color w:val="030303"/>
          <w:w w:val="105"/>
          <w:sz w:val="24"/>
          <w:szCs w:val="24"/>
        </w:rPr>
      </w:pPr>
    </w:p>
    <w:p w14:paraId="54C5BF50" w14:textId="128C6ABF" w:rsidR="00B2484F" w:rsidRPr="00790703" w:rsidRDefault="00B2484F" w:rsidP="00F664C0">
      <w:pPr>
        <w:spacing w:before="5" w:after="0" w:line="240" w:lineRule="auto"/>
        <w:ind w:right="-180"/>
        <w:rPr>
          <w:rFonts w:ascii="Trade Gothic Next Rounded" w:hAnsi="Trade Gothic Next Rounded" w:cs="Arial"/>
          <w:color w:val="030303"/>
          <w:w w:val="105"/>
          <w:sz w:val="24"/>
          <w:szCs w:val="24"/>
        </w:rPr>
      </w:pPr>
      <w:r w:rsidRPr="00790703">
        <w:rPr>
          <w:rFonts w:ascii="Trade Gothic Next Rounded" w:hAnsi="Trade Gothic Next Rounded" w:cs="Arial"/>
          <w:b/>
          <w:bCs/>
          <w:color w:val="030303"/>
          <w:w w:val="105"/>
          <w:sz w:val="24"/>
          <w:szCs w:val="24"/>
        </w:rPr>
        <w:t>DATE:</w:t>
      </w:r>
      <w:r w:rsidRPr="00790703">
        <w:rPr>
          <w:rFonts w:ascii="Trade Gothic Next Rounded" w:hAnsi="Trade Gothic Next Rounded" w:cs="Arial"/>
          <w:b/>
          <w:bCs/>
          <w:color w:val="030303"/>
          <w:w w:val="105"/>
          <w:sz w:val="24"/>
          <w:szCs w:val="24"/>
        </w:rPr>
        <w:tab/>
      </w:r>
      <w:r w:rsidR="00790703">
        <w:rPr>
          <w:rFonts w:ascii="Trade Gothic Next Rounded" w:hAnsi="Trade Gothic Next Rounded" w:cs="Arial"/>
          <w:b/>
          <w:bCs/>
          <w:color w:val="030303"/>
          <w:w w:val="105"/>
          <w:sz w:val="24"/>
          <w:szCs w:val="24"/>
        </w:rPr>
        <w:tab/>
      </w:r>
      <w:r w:rsidR="00AC768F">
        <w:rPr>
          <w:rFonts w:ascii="Trade Gothic Next Rounded" w:hAnsi="Trade Gothic Next Rounded" w:cs="Arial"/>
          <w:color w:val="030303"/>
          <w:w w:val="105"/>
          <w:sz w:val="24"/>
          <w:szCs w:val="24"/>
        </w:rPr>
        <w:t>September 25</w:t>
      </w:r>
      <w:r w:rsidR="00CE4D4B">
        <w:rPr>
          <w:rFonts w:ascii="Trade Gothic Next Rounded" w:hAnsi="Trade Gothic Next Rounded" w:cs="Arial"/>
          <w:color w:val="030303"/>
          <w:w w:val="105"/>
          <w:sz w:val="24"/>
          <w:szCs w:val="24"/>
        </w:rPr>
        <w:t>, 2025</w:t>
      </w:r>
    </w:p>
    <w:p w14:paraId="76FD5706" w14:textId="77777777" w:rsidR="00B2484F" w:rsidRPr="00790703" w:rsidRDefault="00B2484F" w:rsidP="00F664C0">
      <w:pPr>
        <w:spacing w:before="5" w:after="0" w:line="240" w:lineRule="auto"/>
        <w:ind w:right="-180"/>
        <w:rPr>
          <w:rFonts w:ascii="Trade Gothic Next Rounded" w:hAnsi="Trade Gothic Next Rounded" w:cs="Arial"/>
          <w:color w:val="030303"/>
          <w:w w:val="105"/>
          <w:sz w:val="24"/>
          <w:szCs w:val="24"/>
        </w:rPr>
      </w:pPr>
    </w:p>
    <w:p w14:paraId="5F61D37C" w14:textId="25B2572A" w:rsidR="00B2484F" w:rsidRPr="00790703" w:rsidRDefault="00B2484F" w:rsidP="00670342">
      <w:pPr>
        <w:pBdr>
          <w:bottom w:val="single" w:sz="6" w:space="1" w:color="auto"/>
        </w:pBdr>
        <w:spacing w:before="5" w:after="0" w:line="240" w:lineRule="auto"/>
        <w:ind w:left="1440" w:right="-180" w:hanging="1440"/>
        <w:rPr>
          <w:rFonts w:ascii="Trade Gothic Next Rounded" w:hAnsi="Trade Gothic Next Rounded" w:cs="Arial"/>
          <w:color w:val="030303"/>
          <w:w w:val="105"/>
          <w:sz w:val="24"/>
          <w:szCs w:val="24"/>
        </w:rPr>
      </w:pPr>
      <w:r w:rsidRPr="00790703">
        <w:rPr>
          <w:rFonts w:ascii="Trade Gothic Next Rounded" w:hAnsi="Trade Gothic Next Rounded" w:cs="Arial"/>
          <w:b/>
          <w:bCs/>
          <w:color w:val="030303"/>
          <w:w w:val="105"/>
          <w:sz w:val="24"/>
          <w:szCs w:val="24"/>
        </w:rPr>
        <w:t>SUBJECT:</w:t>
      </w:r>
      <w:r w:rsidRPr="00790703">
        <w:rPr>
          <w:rFonts w:ascii="Trade Gothic Next Rounded" w:hAnsi="Trade Gothic Next Rounded" w:cs="Arial"/>
          <w:b/>
          <w:bCs/>
          <w:color w:val="030303"/>
          <w:w w:val="105"/>
          <w:sz w:val="24"/>
          <w:szCs w:val="24"/>
        </w:rPr>
        <w:tab/>
      </w:r>
      <w:r w:rsidR="00AC768F" w:rsidRPr="00AC768F">
        <w:rPr>
          <w:rFonts w:ascii="Trade Gothic Next Rounded" w:hAnsi="Trade Gothic Next Rounded" w:cs="Arial"/>
          <w:color w:val="030303"/>
          <w:w w:val="105"/>
          <w:sz w:val="24"/>
          <w:szCs w:val="24"/>
        </w:rPr>
        <w:t>Ordinance 354 – 2025</w:t>
      </w:r>
      <w:r w:rsidR="00AC768F">
        <w:rPr>
          <w:rFonts w:ascii="Trade Gothic Next Rounded" w:hAnsi="Trade Gothic Next Rounded" w:cs="Arial"/>
          <w:b/>
          <w:bCs/>
          <w:color w:val="030303"/>
          <w:w w:val="105"/>
          <w:sz w:val="24"/>
          <w:szCs w:val="24"/>
        </w:rPr>
        <w:t xml:space="preserve"> </w:t>
      </w:r>
      <w:r w:rsidR="00AC768F">
        <w:rPr>
          <w:rFonts w:ascii="Trade Gothic Next Rounded" w:hAnsi="Trade Gothic Next Rounded" w:cs="Arial"/>
          <w:color w:val="030303"/>
          <w:w w:val="105"/>
          <w:sz w:val="24"/>
          <w:szCs w:val="24"/>
        </w:rPr>
        <w:t>Transportation System Plan</w:t>
      </w:r>
      <w:r w:rsidR="000617AB">
        <w:rPr>
          <w:rFonts w:ascii="Trade Gothic Next Rounded" w:hAnsi="Trade Gothic Next Rounded" w:cs="Arial"/>
          <w:color w:val="030303"/>
          <w:w w:val="105"/>
          <w:sz w:val="24"/>
          <w:szCs w:val="24"/>
        </w:rPr>
        <w:t xml:space="preserve"> </w:t>
      </w:r>
    </w:p>
    <w:p w14:paraId="7DAA58E4" w14:textId="77777777" w:rsidR="00595B71" w:rsidRDefault="00595B71" w:rsidP="00F664C0">
      <w:pPr>
        <w:spacing w:before="5" w:after="0" w:line="240" w:lineRule="auto"/>
        <w:ind w:right="-180"/>
        <w:rPr>
          <w:rFonts w:ascii="Arial" w:hAnsi="Arial" w:cs="Arial"/>
          <w:color w:val="030303"/>
          <w:w w:val="105"/>
          <w:sz w:val="24"/>
          <w:szCs w:val="24"/>
        </w:rPr>
      </w:pPr>
    </w:p>
    <w:p w14:paraId="0877C5A7" w14:textId="6177E7BC" w:rsidR="00AC768F" w:rsidRDefault="00AC768F" w:rsidP="00F664C0">
      <w:pPr>
        <w:spacing w:before="5" w:after="0" w:line="240" w:lineRule="auto"/>
        <w:ind w:right="-180"/>
        <w:rPr>
          <w:rFonts w:ascii="Arial" w:hAnsi="Arial" w:cs="Arial"/>
          <w:color w:val="030303"/>
          <w:w w:val="105"/>
          <w:sz w:val="24"/>
          <w:szCs w:val="24"/>
        </w:rPr>
      </w:pPr>
      <w:r>
        <w:rPr>
          <w:rFonts w:ascii="Arial" w:hAnsi="Arial" w:cs="Arial"/>
          <w:color w:val="030303"/>
          <w:w w:val="105"/>
          <w:sz w:val="24"/>
          <w:szCs w:val="24"/>
        </w:rPr>
        <w:t xml:space="preserve">Before </w:t>
      </w:r>
      <w:r w:rsidR="00EB6DA5">
        <w:rPr>
          <w:rFonts w:ascii="Arial" w:hAnsi="Arial" w:cs="Arial"/>
          <w:color w:val="030303"/>
          <w:w w:val="105"/>
          <w:sz w:val="24"/>
          <w:szCs w:val="24"/>
        </w:rPr>
        <w:t>the Board</w:t>
      </w:r>
      <w:r>
        <w:rPr>
          <w:rFonts w:ascii="Arial" w:hAnsi="Arial" w:cs="Arial"/>
          <w:color w:val="030303"/>
          <w:w w:val="105"/>
          <w:sz w:val="24"/>
          <w:szCs w:val="24"/>
        </w:rPr>
        <w:t xml:space="preserve"> is the culmination of nearly two years of efforts from the County to update its Transportation System Plan (TSP)</w:t>
      </w:r>
      <w:r w:rsidR="00EB6DA5">
        <w:rPr>
          <w:rFonts w:ascii="Arial" w:hAnsi="Arial" w:cs="Arial"/>
          <w:color w:val="030303"/>
          <w:w w:val="105"/>
          <w:sz w:val="24"/>
          <w:szCs w:val="24"/>
        </w:rPr>
        <w:t>. The operative documents are incorporated into Ordinance 354 via Attachment A.</w:t>
      </w:r>
    </w:p>
    <w:p w14:paraId="57128B00" w14:textId="77777777" w:rsidR="006270E6" w:rsidRDefault="006270E6" w:rsidP="00F664C0">
      <w:pPr>
        <w:spacing w:before="5" w:after="0" w:line="240" w:lineRule="auto"/>
        <w:ind w:right="-180"/>
        <w:rPr>
          <w:rFonts w:ascii="Arial" w:hAnsi="Arial" w:cs="Arial"/>
          <w:color w:val="030303"/>
          <w:w w:val="105"/>
          <w:sz w:val="24"/>
          <w:szCs w:val="24"/>
        </w:rPr>
      </w:pPr>
    </w:p>
    <w:p w14:paraId="499BA5AD" w14:textId="760123C3" w:rsidR="0061611A" w:rsidRDefault="0061611A" w:rsidP="00061F1B">
      <w:pPr>
        <w:pStyle w:val="Heading1"/>
      </w:pPr>
      <w:r>
        <w:t>Purpose</w:t>
      </w:r>
    </w:p>
    <w:p w14:paraId="35723FFA" w14:textId="0E67C965" w:rsidR="0061611A" w:rsidRPr="0061611A" w:rsidRDefault="0061611A" w:rsidP="0061611A">
      <w:pPr>
        <w:rPr>
          <w:rFonts w:ascii="Arial" w:hAnsi="Arial" w:cs="Arial"/>
          <w:sz w:val="24"/>
          <w:szCs w:val="24"/>
        </w:rPr>
      </w:pPr>
      <w:r w:rsidRPr="0061611A">
        <w:rPr>
          <w:rFonts w:ascii="Arial" w:hAnsi="Arial" w:cs="Arial"/>
          <w:sz w:val="24"/>
          <w:szCs w:val="24"/>
        </w:rPr>
        <w:t>This memo provides a summary of the main points and key findings of the Draft 2025 TSP and its associated appendices. The purpose is to equip the Board with a concise overview of the plan's rationale, proposed solutions, and implementation strategy as you consider the ordinance for its official adoption.</w:t>
      </w:r>
    </w:p>
    <w:p w14:paraId="59E418BD" w14:textId="41A0ED4E" w:rsidR="0061611A" w:rsidRPr="0061611A" w:rsidRDefault="0061611A" w:rsidP="0061611A">
      <w:pPr>
        <w:rPr>
          <w:rFonts w:ascii="Arial" w:hAnsi="Arial" w:cs="Arial"/>
          <w:sz w:val="24"/>
          <w:szCs w:val="24"/>
        </w:rPr>
      </w:pPr>
      <w:r w:rsidRPr="0061611A">
        <w:rPr>
          <w:rFonts w:ascii="Arial" w:hAnsi="Arial" w:cs="Arial"/>
          <w:sz w:val="24"/>
          <w:szCs w:val="24"/>
        </w:rPr>
        <w:t>It is important to note that the development and adoption of this TSP is a requirement for Crook County under Oregon Administrative Rule (OAR) 660-012, the Transportation Planning Rule (TPR). The TPR mandates that local governments plan for a 20-year transportation system that is integrated with their comprehensive land use plan. This includes providing a safe, convenient, and economic transportation system for all modes of travel—including motor vehicles, public transit, bicycles, and pedestrians—and ensuring the plan is consistent with state and regional transportation policies.</w:t>
      </w:r>
    </w:p>
    <w:p w14:paraId="1BFF4D7A" w14:textId="7849FDD4" w:rsidR="006270E6" w:rsidRDefault="00AC768F" w:rsidP="00061F1B">
      <w:pPr>
        <w:pStyle w:val="Heading1"/>
      </w:pPr>
      <w:r>
        <w:t>Background</w:t>
      </w:r>
    </w:p>
    <w:p w14:paraId="3EB1B58D" w14:textId="6E85FB34" w:rsidR="00EB6DA5" w:rsidRDefault="00EB6DA5" w:rsidP="00EB6DA5">
      <w:pPr>
        <w:rPr>
          <w:rFonts w:ascii="Arial" w:hAnsi="Arial" w:cs="Arial"/>
          <w:sz w:val="24"/>
          <w:szCs w:val="24"/>
        </w:rPr>
      </w:pPr>
      <w:r w:rsidRPr="00EB6DA5">
        <w:rPr>
          <w:rFonts w:ascii="Arial" w:hAnsi="Arial" w:cs="Arial"/>
          <w:sz w:val="24"/>
          <w:szCs w:val="24"/>
        </w:rPr>
        <w:t xml:space="preserve">The </w:t>
      </w:r>
      <w:r>
        <w:rPr>
          <w:rFonts w:ascii="Arial" w:hAnsi="Arial" w:cs="Arial"/>
          <w:sz w:val="24"/>
          <w:szCs w:val="24"/>
        </w:rPr>
        <w:t>County last updated its TSP in 2017. The TSP is designed to be a twenty-year planning document, but with the recent growth and future projections, along with the need to establish a dependable funding mechanism for transportation capital projects, the County decided an updated TSP was necessary.</w:t>
      </w:r>
    </w:p>
    <w:p w14:paraId="61D4CCF9" w14:textId="61B3D78B" w:rsidR="00EB6DA5" w:rsidRDefault="00EB6DA5" w:rsidP="00EB6DA5">
      <w:pPr>
        <w:rPr>
          <w:rFonts w:ascii="Arial" w:hAnsi="Arial" w:cs="Arial"/>
          <w:sz w:val="24"/>
          <w:szCs w:val="24"/>
        </w:rPr>
      </w:pPr>
      <w:r>
        <w:rPr>
          <w:rFonts w:ascii="Arial" w:hAnsi="Arial" w:cs="Arial"/>
          <w:sz w:val="24"/>
          <w:szCs w:val="24"/>
        </w:rPr>
        <w:t xml:space="preserve">To develop this TSP, </w:t>
      </w:r>
      <w:r w:rsidR="00947EB4">
        <w:rPr>
          <w:rFonts w:ascii="Arial" w:hAnsi="Arial" w:cs="Arial"/>
          <w:sz w:val="24"/>
          <w:szCs w:val="24"/>
        </w:rPr>
        <w:t xml:space="preserve">the County has undergone extensive consultation and outreach. A Project Advisory Committee </w:t>
      </w:r>
      <w:r w:rsidR="0061611A">
        <w:rPr>
          <w:rFonts w:ascii="Arial" w:hAnsi="Arial" w:cs="Arial"/>
          <w:sz w:val="24"/>
          <w:szCs w:val="24"/>
        </w:rPr>
        <w:t xml:space="preserve">(PAC) </w:t>
      </w:r>
      <w:r w:rsidR="00947EB4">
        <w:rPr>
          <w:rFonts w:ascii="Arial" w:hAnsi="Arial" w:cs="Arial"/>
          <w:sz w:val="24"/>
          <w:szCs w:val="24"/>
        </w:rPr>
        <w:t>comprising stakeholders and experts</w:t>
      </w:r>
      <w:r w:rsidR="0061611A">
        <w:rPr>
          <w:rFonts w:ascii="Arial" w:hAnsi="Arial" w:cs="Arial"/>
          <w:sz w:val="24"/>
          <w:szCs w:val="24"/>
        </w:rPr>
        <w:t>, including representatives from the Oregon Department of Transportation (ODOT)</w:t>
      </w:r>
      <w:r w:rsidR="00947EB4">
        <w:rPr>
          <w:rFonts w:ascii="Arial" w:hAnsi="Arial" w:cs="Arial"/>
          <w:sz w:val="24"/>
          <w:szCs w:val="24"/>
        </w:rPr>
        <w:t xml:space="preserve"> was established to meet and provide feedback on the development of the TSP. Multiple open houses </w:t>
      </w:r>
      <w:r w:rsidR="00947EB4">
        <w:rPr>
          <w:rFonts w:ascii="Arial" w:hAnsi="Arial" w:cs="Arial"/>
          <w:sz w:val="24"/>
          <w:szCs w:val="24"/>
        </w:rPr>
        <w:lastRenderedPageBreak/>
        <w:t xml:space="preserve">and presentations have been held for the public. Surveys have been received regarding the preferred solutions in the 2025 TSP draft. The Planning Commission held a work session and separate hearing before making the recommendation to move forward with the 2025 TSP. </w:t>
      </w:r>
    </w:p>
    <w:p w14:paraId="5AEF2890" w14:textId="478878D7" w:rsidR="0061611A" w:rsidRDefault="0061611A" w:rsidP="00061F1B">
      <w:pPr>
        <w:pStyle w:val="Heading1"/>
      </w:pPr>
      <w:r>
        <w:t>Key Issues and Needs Identified</w:t>
      </w:r>
    </w:p>
    <w:p w14:paraId="4D2BFCF3" w14:textId="77777777" w:rsidR="0061611A" w:rsidRPr="0061611A" w:rsidRDefault="0061611A" w:rsidP="0061611A">
      <w:pPr>
        <w:rPr>
          <w:rFonts w:ascii="Arial" w:hAnsi="Arial" w:cs="Arial"/>
          <w:sz w:val="24"/>
          <w:szCs w:val="24"/>
        </w:rPr>
      </w:pPr>
      <w:r w:rsidRPr="0061611A">
        <w:rPr>
          <w:rFonts w:ascii="Arial" w:hAnsi="Arial" w:cs="Arial"/>
          <w:sz w:val="24"/>
          <w:szCs w:val="24"/>
        </w:rPr>
        <w:t>The TSP analysis identified several critical transportation deficiencies that need to be addressed to ensure the safety and mobility of residents over the next 20 years.</w:t>
      </w:r>
    </w:p>
    <w:p w14:paraId="2B93D729" w14:textId="77777777" w:rsidR="0061611A" w:rsidRPr="0061611A" w:rsidRDefault="0061611A" w:rsidP="0061611A">
      <w:pPr>
        <w:pStyle w:val="Heading2"/>
      </w:pPr>
      <w:r w:rsidRPr="0061611A">
        <w:t>Traffic Operations &amp; Congestion:</w:t>
      </w:r>
    </w:p>
    <w:p w14:paraId="61B21469" w14:textId="77777777" w:rsidR="0061611A" w:rsidRPr="0061611A" w:rsidRDefault="0061611A" w:rsidP="000538BC">
      <w:pPr>
        <w:numPr>
          <w:ilvl w:val="0"/>
          <w:numId w:val="26"/>
        </w:numPr>
        <w:rPr>
          <w:rFonts w:ascii="Arial" w:hAnsi="Arial" w:cs="Arial"/>
          <w:sz w:val="24"/>
          <w:szCs w:val="24"/>
        </w:rPr>
      </w:pPr>
      <w:r w:rsidRPr="0061611A">
        <w:rPr>
          <w:rFonts w:ascii="Arial" w:hAnsi="Arial" w:cs="Arial"/>
          <w:b/>
          <w:bCs/>
          <w:sz w:val="24"/>
          <w:szCs w:val="24"/>
        </w:rPr>
        <w:t>Future Failures:</w:t>
      </w:r>
      <w:r w:rsidRPr="0061611A">
        <w:rPr>
          <w:rFonts w:ascii="Arial" w:hAnsi="Arial" w:cs="Arial"/>
          <w:sz w:val="24"/>
          <w:szCs w:val="24"/>
        </w:rPr>
        <w:t xml:space="preserve"> Under a high-growth scenario for the 2045 horizon year, five of the six key intersections studied are projected to fail, exceeding their capacity and state mobility targets.</w:t>
      </w:r>
    </w:p>
    <w:p w14:paraId="07C5FC28" w14:textId="77777777" w:rsidR="0061611A" w:rsidRPr="0061611A" w:rsidRDefault="0061611A" w:rsidP="000538BC">
      <w:pPr>
        <w:numPr>
          <w:ilvl w:val="0"/>
          <w:numId w:val="26"/>
        </w:numPr>
        <w:rPr>
          <w:rFonts w:ascii="Arial" w:hAnsi="Arial" w:cs="Arial"/>
          <w:sz w:val="24"/>
          <w:szCs w:val="24"/>
        </w:rPr>
      </w:pPr>
      <w:r w:rsidRPr="0061611A">
        <w:rPr>
          <w:rFonts w:ascii="Arial" w:hAnsi="Arial" w:cs="Arial"/>
          <w:b/>
          <w:bCs/>
          <w:sz w:val="24"/>
          <w:szCs w:val="24"/>
        </w:rPr>
        <w:t>Current Issues:</w:t>
      </w:r>
      <w:r w:rsidRPr="0061611A">
        <w:rPr>
          <w:rFonts w:ascii="Arial" w:hAnsi="Arial" w:cs="Arial"/>
          <w:sz w:val="24"/>
          <w:szCs w:val="24"/>
        </w:rPr>
        <w:t xml:space="preserve"> The intersection of SW Powell Butte Highway and OR 126 already exceeds its mobility target, experiencing significant congestion.</w:t>
      </w:r>
    </w:p>
    <w:p w14:paraId="51672F3F" w14:textId="3DBCB9C7" w:rsidR="0061611A" w:rsidRPr="0061611A" w:rsidRDefault="0061611A" w:rsidP="000538BC">
      <w:pPr>
        <w:numPr>
          <w:ilvl w:val="0"/>
          <w:numId w:val="26"/>
        </w:numPr>
        <w:rPr>
          <w:rFonts w:ascii="Arial" w:hAnsi="Arial" w:cs="Arial"/>
          <w:sz w:val="24"/>
          <w:szCs w:val="24"/>
        </w:rPr>
      </w:pPr>
      <w:r w:rsidRPr="0061611A">
        <w:rPr>
          <w:rFonts w:ascii="Arial" w:hAnsi="Arial" w:cs="Arial"/>
          <w:b/>
          <w:bCs/>
          <w:sz w:val="24"/>
          <w:szCs w:val="24"/>
        </w:rPr>
        <w:t>Juniper Canyon:</w:t>
      </w:r>
      <w:r w:rsidRPr="0061611A">
        <w:rPr>
          <w:rFonts w:ascii="Arial" w:hAnsi="Arial" w:cs="Arial"/>
          <w:sz w:val="24"/>
          <w:szCs w:val="24"/>
        </w:rPr>
        <w:t xml:space="preserve"> With only one primary access road (SE Juniper Canyon Road), the growing community faces significant congestion at its intersection with OR 380, a problem projected to worsen </w:t>
      </w:r>
      <w:r>
        <w:rPr>
          <w:rFonts w:ascii="Arial" w:hAnsi="Arial" w:cs="Arial"/>
          <w:sz w:val="24"/>
          <w:szCs w:val="24"/>
        </w:rPr>
        <w:t>in the years ahead</w:t>
      </w:r>
      <w:r w:rsidRPr="0061611A">
        <w:rPr>
          <w:rFonts w:ascii="Arial" w:hAnsi="Arial" w:cs="Arial"/>
          <w:sz w:val="24"/>
          <w:szCs w:val="24"/>
        </w:rPr>
        <w:t>.</w:t>
      </w:r>
    </w:p>
    <w:p w14:paraId="7E8C5DDF" w14:textId="77777777" w:rsidR="0061611A" w:rsidRPr="0061611A" w:rsidRDefault="0061611A" w:rsidP="0061611A">
      <w:pPr>
        <w:pStyle w:val="Heading2"/>
      </w:pPr>
      <w:r w:rsidRPr="0061611A">
        <w:t>Safety Concerns:</w:t>
      </w:r>
    </w:p>
    <w:p w14:paraId="69FA39FB" w14:textId="77777777" w:rsidR="0061611A" w:rsidRPr="0061611A" w:rsidRDefault="0061611A" w:rsidP="000538BC">
      <w:pPr>
        <w:numPr>
          <w:ilvl w:val="0"/>
          <w:numId w:val="26"/>
        </w:numPr>
        <w:rPr>
          <w:rFonts w:ascii="Arial" w:hAnsi="Arial" w:cs="Arial"/>
          <w:sz w:val="24"/>
          <w:szCs w:val="24"/>
        </w:rPr>
      </w:pPr>
      <w:r w:rsidRPr="0061611A">
        <w:rPr>
          <w:rFonts w:ascii="Arial" w:hAnsi="Arial" w:cs="Arial"/>
          <w:b/>
          <w:bCs/>
          <w:sz w:val="24"/>
          <w:szCs w:val="24"/>
        </w:rPr>
        <w:t>Crash Data:</w:t>
      </w:r>
      <w:r w:rsidRPr="0061611A">
        <w:rPr>
          <w:rFonts w:ascii="Arial" w:hAnsi="Arial" w:cs="Arial"/>
          <w:sz w:val="24"/>
          <w:szCs w:val="24"/>
        </w:rPr>
        <w:t xml:space="preserve"> Between 2017 and 2021, there were 732 crashes in the unincorporated county, resulting in 17 fatalities and 54 serious injuries. Fixed-object and rear-end crashes are most common, with speeding and inattention as the top contributing factors.</w:t>
      </w:r>
    </w:p>
    <w:p w14:paraId="3F8F49B2" w14:textId="24119FD2" w:rsidR="0061611A" w:rsidRPr="0061611A" w:rsidRDefault="0061611A" w:rsidP="000538BC">
      <w:pPr>
        <w:numPr>
          <w:ilvl w:val="0"/>
          <w:numId w:val="26"/>
        </w:numPr>
        <w:rPr>
          <w:rFonts w:ascii="Arial" w:hAnsi="Arial" w:cs="Arial"/>
          <w:sz w:val="24"/>
          <w:szCs w:val="24"/>
        </w:rPr>
      </w:pPr>
      <w:r w:rsidRPr="0061611A">
        <w:rPr>
          <w:rFonts w:ascii="Arial" w:hAnsi="Arial" w:cs="Arial"/>
          <w:b/>
          <w:bCs/>
          <w:sz w:val="24"/>
          <w:szCs w:val="24"/>
        </w:rPr>
        <w:t>High-Crash Locations:</w:t>
      </w:r>
      <w:r w:rsidRPr="0061611A">
        <w:rPr>
          <w:rFonts w:ascii="Arial" w:hAnsi="Arial" w:cs="Arial"/>
          <w:sz w:val="24"/>
          <w:szCs w:val="24"/>
        </w:rPr>
        <w:t xml:space="preserve"> The safety analysis flagged</w:t>
      </w:r>
      <w:r w:rsidR="00C71026">
        <w:rPr>
          <w:rFonts w:ascii="Arial" w:hAnsi="Arial" w:cs="Arial"/>
          <w:sz w:val="24"/>
          <w:szCs w:val="24"/>
        </w:rPr>
        <w:t xml:space="preserve"> five intersections</w:t>
      </w:r>
      <w:r w:rsidRPr="0061611A">
        <w:rPr>
          <w:rFonts w:ascii="Arial" w:hAnsi="Arial" w:cs="Arial"/>
          <w:sz w:val="24"/>
          <w:szCs w:val="24"/>
        </w:rPr>
        <w:t xml:space="preserve"> as exceeding the critical crash rate. Several other intersections and road segments were also identified as having safety concerns that require intervention.</w:t>
      </w:r>
    </w:p>
    <w:p w14:paraId="770B00A3" w14:textId="77777777" w:rsidR="0061611A" w:rsidRPr="0061611A" w:rsidRDefault="0061611A" w:rsidP="0061611A">
      <w:pPr>
        <w:pStyle w:val="Heading2"/>
      </w:pPr>
      <w:r w:rsidRPr="0061611A">
        <w:t>Emergency Access &amp; Evacuation:</w:t>
      </w:r>
    </w:p>
    <w:p w14:paraId="7C245849" w14:textId="490D4A2E" w:rsidR="0061611A" w:rsidRPr="0061611A" w:rsidRDefault="0061611A" w:rsidP="000538BC">
      <w:pPr>
        <w:numPr>
          <w:ilvl w:val="0"/>
          <w:numId w:val="26"/>
        </w:numPr>
        <w:rPr>
          <w:rFonts w:ascii="Arial" w:hAnsi="Arial" w:cs="Arial"/>
          <w:sz w:val="24"/>
          <w:szCs w:val="24"/>
        </w:rPr>
      </w:pPr>
      <w:r w:rsidRPr="0061611A">
        <w:rPr>
          <w:rFonts w:ascii="Arial" w:hAnsi="Arial" w:cs="Arial"/>
          <w:b/>
          <w:bCs/>
          <w:sz w:val="24"/>
          <w:szCs w:val="24"/>
        </w:rPr>
        <w:t>Juniper Canyon:</w:t>
      </w:r>
      <w:r w:rsidRPr="0061611A">
        <w:rPr>
          <w:rFonts w:ascii="Arial" w:hAnsi="Arial" w:cs="Arial"/>
          <w:sz w:val="24"/>
          <w:szCs w:val="24"/>
        </w:rPr>
        <w:t xml:space="preserve"> </w:t>
      </w:r>
      <w:r w:rsidR="00C71026">
        <w:rPr>
          <w:rFonts w:ascii="Arial" w:hAnsi="Arial" w:cs="Arial"/>
          <w:sz w:val="24"/>
          <w:szCs w:val="24"/>
        </w:rPr>
        <w:t>Other than the Powell Butte Highway/OR 126 intersection, t</w:t>
      </w:r>
      <w:r w:rsidRPr="0061611A">
        <w:rPr>
          <w:rFonts w:ascii="Arial" w:hAnsi="Arial" w:cs="Arial"/>
          <w:sz w:val="24"/>
          <w:szCs w:val="24"/>
        </w:rPr>
        <w:t>he most pressing issue raised by the community is the lack of a secondary access route for Juniper Canyon. Residents are concerned about emergency vehicle access during a road blockage and the ability to evacuate during a wildfire or other natural disaster.</w:t>
      </w:r>
    </w:p>
    <w:p w14:paraId="195BD817" w14:textId="77777777" w:rsidR="0061611A" w:rsidRPr="0061611A" w:rsidRDefault="0061611A" w:rsidP="0061611A">
      <w:pPr>
        <w:pStyle w:val="Heading2"/>
      </w:pPr>
      <w:r w:rsidRPr="0061611A">
        <w:t>Multimodal Deficiencies:</w:t>
      </w:r>
    </w:p>
    <w:p w14:paraId="737DAFA9" w14:textId="77777777" w:rsidR="0061611A" w:rsidRPr="0061611A" w:rsidRDefault="0061611A" w:rsidP="000538BC">
      <w:pPr>
        <w:numPr>
          <w:ilvl w:val="0"/>
          <w:numId w:val="26"/>
        </w:numPr>
        <w:rPr>
          <w:rFonts w:ascii="Arial" w:hAnsi="Arial" w:cs="Arial"/>
          <w:sz w:val="24"/>
          <w:szCs w:val="24"/>
        </w:rPr>
      </w:pPr>
      <w:r w:rsidRPr="0061611A">
        <w:rPr>
          <w:rFonts w:ascii="Arial" w:hAnsi="Arial" w:cs="Arial"/>
          <w:b/>
          <w:bCs/>
          <w:sz w:val="24"/>
          <w:szCs w:val="24"/>
        </w:rPr>
        <w:t>Pedestrians:</w:t>
      </w:r>
      <w:r w:rsidRPr="0061611A">
        <w:rPr>
          <w:rFonts w:ascii="Arial" w:hAnsi="Arial" w:cs="Arial"/>
          <w:sz w:val="24"/>
          <w:szCs w:val="24"/>
        </w:rPr>
        <w:t xml:space="preserve"> There are currently no sidewalks in unincorporated Crook County, forcing pedestrians to walk on roadway shoulders, if available. This is a particular concern in community hubs like Powell Butte.</w:t>
      </w:r>
    </w:p>
    <w:p w14:paraId="37C8E746" w14:textId="77777777" w:rsidR="0061611A" w:rsidRPr="0061611A" w:rsidRDefault="0061611A" w:rsidP="000538BC">
      <w:pPr>
        <w:numPr>
          <w:ilvl w:val="0"/>
          <w:numId w:val="26"/>
        </w:numPr>
        <w:rPr>
          <w:rFonts w:ascii="Arial" w:hAnsi="Arial" w:cs="Arial"/>
          <w:sz w:val="24"/>
          <w:szCs w:val="24"/>
        </w:rPr>
      </w:pPr>
      <w:r w:rsidRPr="0061611A">
        <w:rPr>
          <w:rFonts w:ascii="Arial" w:hAnsi="Arial" w:cs="Arial"/>
          <w:b/>
          <w:bCs/>
          <w:sz w:val="24"/>
          <w:szCs w:val="24"/>
        </w:rPr>
        <w:lastRenderedPageBreak/>
        <w:t>Bicycles:</w:t>
      </w:r>
      <w:r w:rsidRPr="0061611A">
        <w:rPr>
          <w:rFonts w:ascii="Arial" w:hAnsi="Arial" w:cs="Arial"/>
          <w:sz w:val="24"/>
          <w:szCs w:val="24"/>
        </w:rPr>
        <w:t xml:space="preserve"> While popular for recreation, key cycling routes often lack paved shoulders, creating an uncomfortable and high-stress environment for cyclists sharing the road with high-speed traffic. The existing network is fragmented.</w:t>
      </w:r>
    </w:p>
    <w:p w14:paraId="1C2B0DBB" w14:textId="26D08935" w:rsidR="0061611A" w:rsidRDefault="0061611A" w:rsidP="00061F1B">
      <w:pPr>
        <w:pStyle w:val="Heading1"/>
      </w:pPr>
      <w:r>
        <w:t>Summary of Major Preferred Solutions</w:t>
      </w:r>
    </w:p>
    <w:p w14:paraId="6A29364E" w14:textId="77777777" w:rsidR="0061611A" w:rsidRPr="0061611A" w:rsidRDefault="0061611A" w:rsidP="0061611A">
      <w:pPr>
        <w:rPr>
          <w:rFonts w:ascii="Arial" w:hAnsi="Arial" w:cs="Arial"/>
          <w:sz w:val="24"/>
          <w:szCs w:val="24"/>
        </w:rPr>
      </w:pPr>
      <w:r w:rsidRPr="0061611A">
        <w:rPr>
          <w:rFonts w:ascii="Arial" w:hAnsi="Arial" w:cs="Arial"/>
          <w:sz w:val="24"/>
          <w:szCs w:val="24"/>
        </w:rPr>
        <w:t>To address these needs, the TSP recommends several high-priority projects:</w:t>
      </w:r>
    </w:p>
    <w:p w14:paraId="706D3169" w14:textId="77777777" w:rsidR="000538BC" w:rsidRDefault="0061611A" w:rsidP="000538BC">
      <w:pPr>
        <w:pStyle w:val="Heading2"/>
        <w:numPr>
          <w:ilvl w:val="0"/>
          <w:numId w:val="29"/>
        </w:numPr>
      </w:pPr>
      <w:r w:rsidRPr="0061611A">
        <w:t xml:space="preserve">OR 126 / SW Powell Butte Highway Intersection (Project R-1A): </w:t>
      </w:r>
    </w:p>
    <w:p w14:paraId="4A154339" w14:textId="41763F75" w:rsidR="0061611A" w:rsidRPr="0061611A" w:rsidRDefault="0061611A" w:rsidP="000538BC">
      <w:pPr>
        <w:rPr>
          <w:rFonts w:ascii="Arial" w:hAnsi="Arial" w:cs="Arial"/>
          <w:sz w:val="24"/>
          <w:szCs w:val="24"/>
        </w:rPr>
      </w:pPr>
      <w:r w:rsidRPr="0061611A">
        <w:rPr>
          <w:rFonts w:ascii="Arial" w:hAnsi="Arial" w:cs="Arial"/>
          <w:sz w:val="24"/>
          <w:szCs w:val="24"/>
        </w:rPr>
        <w:t>The preferred solution is to construct a single-lane roundabout. This will improve safety by reducing conflict points and calming traffic speeds, while also addressing current and near-term congestion. The design will maintain critical access to the Powell Butte post office.</w:t>
      </w:r>
    </w:p>
    <w:p w14:paraId="4AFC7A6B" w14:textId="77777777" w:rsidR="000538BC" w:rsidRDefault="0061611A" w:rsidP="000538BC">
      <w:pPr>
        <w:pStyle w:val="Heading2"/>
      </w:pPr>
      <w:r w:rsidRPr="0061611A">
        <w:t xml:space="preserve">Juniper Canyon Access (Projects JC-1 &amp; JC-2): </w:t>
      </w:r>
    </w:p>
    <w:p w14:paraId="2CC0C956" w14:textId="24CC4193" w:rsidR="0061611A" w:rsidRPr="0061611A" w:rsidRDefault="0061611A" w:rsidP="000538BC">
      <w:pPr>
        <w:rPr>
          <w:rFonts w:ascii="Arial" w:hAnsi="Arial" w:cs="Arial"/>
          <w:sz w:val="24"/>
          <w:szCs w:val="24"/>
        </w:rPr>
      </w:pPr>
      <w:r w:rsidRPr="0061611A">
        <w:rPr>
          <w:rFonts w:ascii="Arial" w:hAnsi="Arial" w:cs="Arial"/>
          <w:sz w:val="24"/>
          <w:szCs w:val="24"/>
        </w:rPr>
        <w:t>Recognizing the multifaceted needs, the plan proposes a two-pronged approach:</w:t>
      </w:r>
    </w:p>
    <w:p w14:paraId="7AF8A3BB" w14:textId="77777777" w:rsidR="0061611A" w:rsidRPr="0061611A" w:rsidRDefault="0061611A" w:rsidP="000538BC">
      <w:pPr>
        <w:numPr>
          <w:ilvl w:val="0"/>
          <w:numId w:val="30"/>
        </w:numPr>
        <w:rPr>
          <w:rFonts w:ascii="Arial" w:hAnsi="Arial" w:cs="Arial"/>
          <w:sz w:val="24"/>
          <w:szCs w:val="24"/>
        </w:rPr>
      </w:pPr>
      <w:r w:rsidRPr="0061611A">
        <w:rPr>
          <w:rFonts w:ascii="Arial" w:hAnsi="Arial" w:cs="Arial"/>
          <w:b/>
          <w:bCs/>
          <w:sz w:val="24"/>
          <w:szCs w:val="24"/>
        </w:rPr>
        <w:t>JC-1 (W01A Alignment):</w:t>
      </w:r>
      <w:r w:rsidRPr="0061611A">
        <w:rPr>
          <w:rFonts w:ascii="Arial" w:hAnsi="Arial" w:cs="Arial"/>
          <w:sz w:val="24"/>
          <w:szCs w:val="24"/>
        </w:rPr>
        <w:t xml:space="preserve"> A new paved road connecting Davis Loop to OR 27. This route addresses daily traffic congestion and provides an alternate route for emergency services and residents if Juniper Canyon Road is closed.</w:t>
      </w:r>
    </w:p>
    <w:p w14:paraId="2FAE45AE" w14:textId="414DEA7D" w:rsidR="0061611A" w:rsidRPr="0061611A" w:rsidRDefault="0061611A" w:rsidP="000538BC">
      <w:pPr>
        <w:numPr>
          <w:ilvl w:val="0"/>
          <w:numId w:val="30"/>
        </w:numPr>
        <w:rPr>
          <w:rFonts w:ascii="Arial" w:hAnsi="Arial" w:cs="Arial"/>
          <w:sz w:val="24"/>
          <w:szCs w:val="24"/>
        </w:rPr>
      </w:pPr>
      <w:r w:rsidRPr="0061611A">
        <w:rPr>
          <w:rFonts w:ascii="Arial" w:hAnsi="Arial" w:cs="Arial"/>
          <w:b/>
          <w:bCs/>
          <w:sz w:val="24"/>
          <w:szCs w:val="24"/>
        </w:rPr>
        <w:t>JC-2:</w:t>
      </w:r>
      <w:r w:rsidRPr="0061611A">
        <w:rPr>
          <w:rFonts w:ascii="Arial" w:hAnsi="Arial" w:cs="Arial"/>
          <w:sz w:val="24"/>
          <w:szCs w:val="24"/>
        </w:rPr>
        <w:t xml:space="preserve"> A new gravel emergency access route connecting SE Simpson Road to OR 380. This route is located further south to better serve the community's desire for an emergency evacuation option.</w:t>
      </w:r>
    </w:p>
    <w:p w14:paraId="73ECB00A" w14:textId="77777777" w:rsidR="000538BC" w:rsidRDefault="0061611A" w:rsidP="000538BC">
      <w:pPr>
        <w:pStyle w:val="Heading2"/>
      </w:pPr>
      <w:r w:rsidRPr="0061611A">
        <w:t xml:space="preserve">OR 126 Corridor Improvements (Projects R-2A &amp; R-3A): </w:t>
      </w:r>
    </w:p>
    <w:p w14:paraId="4BB3EAB8" w14:textId="2FC2210F" w:rsidR="0061611A" w:rsidRPr="0061611A" w:rsidRDefault="0061611A" w:rsidP="000538BC">
      <w:pPr>
        <w:rPr>
          <w:rFonts w:ascii="Arial" w:hAnsi="Arial" w:cs="Arial"/>
          <w:sz w:val="24"/>
          <w:szCs w:val="24"/>
        </w:rPr>
      </w:pPr>
      <w:r w:rsidRPr="0061611A">
        <w:rPr>
          <w:rFonts w:ascii="Arial" w:hAnsi="Arial" w:cs="Arial"/>
          <w:sz w:val="24"/>
          <w:szCs w:val="24"/>
        </w:rPr>
        <w:t xml:space="preserve">To manage future growth along this critical corridor, </w:t>
      </w:r>
      <w:r w:rsidR="00C71026">
        <w:rPr>
          <w:rFonts w:ascii="Arial" w:hAnsi="Arial" w:cs="Arial"/>
          <w:sz w:val="24"/>
          <w:szCs w:val="24"/>
        </w:rPr>
        <w:t xml:space="preserve">in addition to the Powell Butte Highway/OR 126 roundabout, </w:t>
      </w:r>
      <w:r w:rsidRPr="0061611A">
        <w:rPr>
          <w:rFonts w:ascii="Arial" w:hAnsi="Arial" w:cs="Arial"/>
          <w:sz w:val="24"/>
          <w:szCs w:val="24"/>
        </w:rPr>
        <w:t>the plan recommends:</w:t>
      </w:r>
    </w:p>
    <w:p w14:paraId="50406BC3" w14:textId="08E209CF" w:rsidR="0061611A" w:rsidRPr="0061611A" w:rsidRDefault="00C71026" w:rsidP="000538BC">
      <w:pPr>
        <w:numPr>
          <w:ilvl w:val="0"/>
          <w:numId w:val="27"/>
        </w:numPr>
        <w:rPr>
          <w:rFonts w:ascii="Arial" w:hAnsi="Arial" w:cs="Arial"/>
          <w:sz w:val="24"/>
          <w:szCs w:val="24"/>
        </w:rPr>
      </w:pPr>
      <w:r>
        <w:rPr>
          <w:rFonts w:ascii="Arial" w:hAnsi="Arial" w:cs="Arial"/>
          <w:sz w:val="24"/>
          <w:szCs w:val="24"/>
        </w:rPr>
        <w:t xml:space="preserve">A single lane roundabout at SW Williams Road/OR 126 to provide traffic calming and </w:t>
      </w:r>
      <w:r w:rsidR="00061F1B">
        <w:rPr>
          <w:rFonts w:ascii="Arial" w:hAnsi="Arial" w:cs="Arial"/>
          <w:sz w:val="24"/>
          <w:szCs w:val="24"/>
        </w:rPr>
        <w:t>improve safety performance for all modes of travel.</w:t>
      </w:r>
    </w:p>
    <w:p w14:paraId="5272E64A" w14:textId="77777777" w:rsidR="0061611A" w:rsidRPr="0061611A" w:rsidRDefault="0061611A" w:rsidP="000538BC">
      <w:pPr>
        <w:numPr>
          <w:ilvl w:val="0"/>
          <w:numId w:val="27"/>
        </w:numPr>
        <w:rPr>
          <w:rFonts w:ascii="Arial" w:hAnsi="Arial" w:cs="Arial"/>
          <w:sz w:val="24"/>
          <w:szCs w:val="24"/>
        </w:rPr>
      </w:pPr>
      <w:r w:rsidRPr="0061611A">
        <w:rPr>
          <w:rFonts w:ascii="Arial" w:hAnsi="Arial" w:cs="Arial"/>
          <w:sz w:val="24"/>
          <w:szCs w:val="24"/>
        </w:rPr>
        <w:t>Widening OR 126 near SW Parrish Lane to include a center two-way left-turn lane.</w:t>
      </w:r>
    </w:p>
    <w:p w14:paraId="2AE07A14" w14:textId="0D675187" w:rsidR="0061611A" w:rsidRDefault="0061611A" w:rsidP="00061F1B">
      <w:pPr>
        <w:pStyle w:val="Heading1"/>
      </w:pPr>
      <w:r w:rsidRPr="00061F1B">
        <w:t>Implementation</w:t>
      </w:r>
      <w:r>
        <w:t xml:space="preserve"> and Funding</w:t>
      </w:r>
    </w:p>
    <w:p w14:paraId="15FFCE5F" w14:textId="32838631" w:rsidR="0061611A" w:rsidRPr="0061611A" w:rsidRDefault="0061611A" w:rsidP="0061611A">
      <w:pPr>
        <w:rPr>
          <w:rFonts w:ascii="Arial" w:hAnsi="Arial" w:cs="Arial"/>
          <w:sz w:val="24"/>
          <w:szCs w:val="24"/>
        </w:rPr>
      </w:pPr>
      <w:r w:rsidRPr="0061611A">
        <w:rPr>
          <w:rFonts w:ascii="Arial" w:hAnsi="Arial" w:cs="Arial"/>
          <w:sz w:val="24"/>
          <w:szCs w:val="24"/>
        </w:rPr>
        <w:t>This is the most critical challenge. The TSP identifies approximately $80 million in needed projects.</w:t>
      </w:r>
    </w:p>
    <w:p w14:paraId="119CC8C3" w14:textId="77777777" w:rsidR="0061611A" w:rsidRPr="0061611A" w:rsidRDefault="0061611A" w:rsidP="0061611A">
      <w:pPr>
        <w:numPr>
          <w:ilvl w:val="0"/>
          <w:numId w:val="28"/>
        </w:numPr>
        <w:tabs>
          <w:tab w:val="num" w:pos="720"/>
        </w:tabs>
        <w:rPr>
          <w:rFonts w:ascii="Arial" w:hAnsi="Arial" w:cs="Arial"/>
          <w:sz w:val="24"/>
          <w:szCs w:val="24"/>
        </w:rPr>
      </w:pPr>
      <w:r w:rsidRPr="0061611A">
        <w:rPr>
          <w:rFonts w:ascii="Arial" w:hAnsi="Arial" w:cs="Arial"/>
          <w:b/>
          <w:bCs/>
          <w:sz w:val="24"/>
          <w:szCs w:val="24"/>
        </w:rPr>
        <w:t>Funding Gap:</w:t>
      </w:r>
      <w:r w:rsidRPr="0061611A">
        <w:rPr>
          <w:rFonts w:ascii="Arial" w:hAnsi="Arial" w:cs="Arial"/>
          <w:sz w:val="24"/>
          <w:szCs w:val="24"/>
        </w:rPr>
        <w:t xml:space="preserve"> The Crook County Road Fund is fully allocated to operations and maintenance and is already strained. There is no existing local funding source for new capital projects identified in this plan.</w:t>
      </w:r>
    </w:p>
    <w:p w14:paraId="46CEA7CC" w14:textId="77777777" w:rsidR="0061611A" w:rsidRPr="0061611A" w:rsidRDefault="0061611A" w:rsidP="0061611A">
      <w:pPr>
        <w:numPr>
          <w:ilvl w:val="0"/>
          <w:numId w:val="28"/>
        </w:numPr>
        <w:tabs>
          <w:tab w:val="num" w:pos="720"/>
        </w:tabs>
        <w:rPr>
          <w:rFonts w:ascii="Arial" w:hAnsi="Arial" w:cs="Arial"/>
          <w:sz w:val="24"/>
          <w:szCs w:val="24"/>
        </w:rPr>
      </w:pPr>
      <w:r w:rsidRPr="0061611A">
        <w:rPr>
          <w:rFonts w:ascii="Arial" w:hAnsi="Arial" w:cs="Arial"/>
          <w:b/>
          <w:bCs/>
          <w:sz w:val="24"/>
          <w:szCs w:val="24"/>
        </w:rPr>
        <w:t>Strategy:</w:t>
      </w:r>
      <w:r w:rsidRPr="0061611A">
        <w:rPr>
          <w:rFonts w:ascii="Arial" w:hAnsi="Arial" w:cs="Arial"/>
          <w:sz w:val="24"/>
          <w:szCs w:val="24"/>
        </w:rPr>
        <w:t xml:space="preserve"> Implementation will rely almost entirely on securing external funding through a combination of federal/state grants and partnerships with </w:t>
      </w:r>
      <w:r w:rsidRPr="0061611A">
        <w:rPr>
          <w:rFonts w:ascii="Arial" w:hAnsi="Arial" w:cs="Arial"/>
          <w:sz w:val="24"/>
          <w:szCs w:val="24"/>
        </w:rPr>
        <w:lastRenderedPageBreak/>
        <w:t>ODOT. The adoption of this TSP is a prerequisite for applying for nearly all of these competitive grant programs.</w:t>
      </w:r>
    </w:p>
    <w:p w14:paraId="18C3878C" w14:textId="2A81ADE9" w:rsidR="0061611A" w:rsidRPr="000538BC" w:rsidRDefault="0061611A" w:rsidP="0061611A">
      <w:pPr>
        <w:numPr>
          <w:ilvl w:val="0"/>
          <w:numId w:val="28"/>
        </w:numPr>
        <w:tabs>
          <w:tab w:val="num" w:pos="720"/>
        </w:tabs>
        <w:rPr>
          <w:rFonts w:ascii="Arial" w:hAnsi="Arial" w:cs="Arial"/>
          <w:sz w:val="24"/>
          <w:szCs w:val="24"/>
        </w:rPr>
      </w:pPr>
      <w:r w:rsidRPr="0061611A">
        <w:rPr>
          <w:rFonts w:ascii="Arial" w:hAnsi="Arial" w:cs="Arial"/>
          <w:b/>
          <w:bCs/>
          <w:sz w:val="24"/>
          <w:szCs w:val="24"/>
        </w:rPr>
        <w:t>Local Match:</w:t>
      </w:r>
      <w:r w:rsidRPr="0061611A">
        <w:rPr>
          <w:rFonts w:ascii="Arial" w:hAnsi="Arial" w:cs="Arial"/>
          <w:sz w:val="24"/>
          <w:szCs w:val="24"/>
        </w:rPr>
        <w:t xml:space="preserve"> Most grants will require a local match (typically 10-20%). To meet this requirement, the County will need to explore new local funding options, such as System Development Charges (SDCs) or a Local Improvement District (LID) for specific projects.</w:t>
      </w:r>
    </w:p>
    <w:p w14:paraId="66E4FF09" w14:textId="5909FEAD" w:rsidR="00154BA3" w:rsidRPr="009828B5" w:rsidRDefault="00AC768F" w:rsidP="00061F1B">
      <w:pPr>
        <w:pStyle w:val="Heading1"/>
      </w:pPr>
      <w:r>
        <w:t>Ordinance 354 - 2025 TSP</w:t>
      </w:r>
    </w:p>
    <w:p w14:paraId="0980EFFE" w14:textId="77777777" w:rsidR="00061F1B" w:rsidRDefault="00061F1B" w:rsidP="00F664C0">
      <w:pPr>
        <w:spacing w:before="5" w:after="0" w:line="240" w:lineRule="auto"/>
        <w:ind w:right="-180"/>
        <w:rPr>
          <w:rFonts w:ascii="Trade Gothic Next Rounded" w:hAnsi="Trade Gothic Next Rounded" w:cs="Arial"/>
          <w:color w:val="030303"/>
          <w:w w:val="105"/>
          <w:sz w:val="24"/>
          <w:szCs w:val="24"/>
        </w:rPr>
      </w:pPr>
    </w:p>
    <w:p w14:paraId="18FEFFB3" w14:textId="534497D0" w:rsidR="003B074B" w:rsidRDefault="00947EB4" w:rsidP="00F664C0">
      <w:pPr>
        <w:spacing w:before="5" w:after="0" w:line="240" w:lineRule="auto"/>
        <w:ind w:right="-180"/>
        <w:rPr>
          <w:rFonts w:ascii="Trade Gothic Next Rounded" w:hAnsi="Trade Gothic Next Rounded" w:cs="Arial"/>
          <w:color w:val="030303"/>
          <w:w w:val="105"/>
          <w:sz w:val="24"/>
          <w:szCs w:val="24"/>
        </w:rPr>
      </w:pPr>
      <w:r>
        <w:rPr>
          <w:rFonts w:ascii="Trade Gothic Next Rounded" w:hAnsi="Trade Gothic Next Rounded" w:cs="Arial"/>
          <w:color w:val="030303"/>
          <w:w w:val="105"/>
          <w:sz w:val="24"/>
          <w:szCs w:val="24"/>
        </w:rPr>
        <w:t xml:space="preserve">The 2025 TSP will become part of the County’s Comprehensive Plan, replacing the 2017 TSP. As such, the </w:t>
      </w:r>
      <w:r w:rsidR="00957B82">
        <w:rPr>
          <w:rFonts w:ascii="Trade Gothic Next Rounded" w:hAnsi="Trade Gothic Next Rounded" w:cs="Arial"/>
          <w:color w:val="030303"/>
          <w:w w:val="105"/>
          <w:sz w:val="24"/>
          <w:szCs w:val="24"/>
        </w:rPr>
        <w:t xml:space="preserve">2025 TSP is a legislative amendment to be passed via ordinance, which requires at least two public hearings by the Board of Commissioners at least fourteen days apart. Each hearing is heard </w:t>
      </w:r>
      <w:r w:rsidR="00957B82" w:rsidRPr="00957B82">
        <w:rPr>
          <w:rFonts w:ascii="Trade Gothic Next Rounded" w:hAnsi="Trade Gothic Next Rounded" w:cs="Arial"/>
          <w:i/>
          <w:iCs/>
          <w:color w:val="030303"/>
          <w:w w:val="105"/>
          <w:sz w:val="24"/>
          <w:szCs w:val="24"/>
        </w:rPr>
        <w:t>de novo</w:t>
      </w:r>
      <w:r w:rsidR="00957B82">
        <w:rPr>
          <w:rFonts w:ascii="Trade Gothic Next Rounded" w:hAnsi="Trade Gothic Next Rounded" w:cs="Arial"/>
          <w:color w:val="030303"/>
          <w:w w:val="105"/>
          <w:sz w:val="24"/>
          <w:szCs w:val="24"/>
        </w:rPr>
        <w:t>, with any member of the public permitted to provide comment.</w:t>
      </w:r>
    </w:p>
    <w:p w14:paraId="61BD558F" w14:textId="77777777" w:rsidR="00957B82" w:rsidRDefault="00957B82" w:rsidP="00F664C0">
      <w:pPr>
        <w:spacing w:before="5" w:after="0" w:line="240" w:lineRule="auto"/>
        <w:ind w:right="-180"/>
        <w:rPr>
          <w:rFonts w:ascii="Trade Gothic Next Rounded" w:hAnsi="Trade Gothic Next Rounded" w:cs="Arial"/>
          <w:color w:val="030303"/>
          <w:w w:val="105"/>
          <w:sz w:val="24"/>
          <w:szCs w:val="24"/>
        </w:rPr>
      </w:pPr>
    </w:p>
    <w:p w14:paraId="02432900" w14:textId="788A0A72" w:rsidR="00957B82" w:rsidRDefault="00957B82" w:rsidP="00F664C0">
      <w:pPr>
        <w:spacing w:before="5" w:after="0" w:line="240" w:lineRule="auto"/>
        <w:ind w:right="-180"/>
        <w:rPr>
          <w:rFonts w:ascii="Trade Gothic Next Rounded" w:hAnsi="Trade Gothic Next Rounded" w:cs="Arial"/>
          <w:color w:val="030303"/>
          <w:w w:val="105"/>
          <w:sz w:val="24"/>
          <w:szCs w:val="24"/>
        </w:rPr>
      </w:pPr>
      <w:r>
        <w:rPr>
          <w:rFonts w:ascii="Trade Gothic Next Rounded" w:hAnsi="Trade Gothic Next Rounded" w:cs="Arial"/>
          <w:color w:val="030303"/>
          <w:w w:val="105"/>
          <w:sz w:val="24"/>
          <w:szCs w:val="24"/>
        </w:rPr>
        <w:t xml:space="preserve">The </w:t>
      </w:r>
      <w:r w:rsidR="00061F1B">
        <w:rPr>
          <w:rFonts w:ascii="Trade Gothic Next Rounded" w:hAnsi="Trade Gothic Next Rounded" w:cs="Arial"/>
          <w:color w:val="030303"/>
          <w:w w:val="105"/>
          <w:sz w:val="24"/>
          <w:szCs w:val="24"/>
        </w:rPr>
        <w:t>Planning Commission voted unanimously to pass the 2025 TSP draft for the Board’s consideration and to consider their comments. The Planning Commission’s comments from the September 24</w:t>
      </w:r>
      <w:r w:rsidR="00061F1B" w:rsidRPr="00061F1B">
        <w:rPr>
          <w:rFonts w:ascii="Trade Gothic Next Rounded" w:hAnsi="Trade Gothic Next Rounded" w:cs="Arial"/>
          <w:color w:val="030303"/>
          <w:w w:val="105"/>
          <w:sz w:val="24"/>
          <w:szCs w:val="24"/>
          <w:vertAlign w:val="superscript"/>
        </w:rPr>
        <w:t>th</w:t>
      </w:r>
      <w:r w:rsidR="00061F1B">
        <w:rPr>
          <w:rFonts w:ascii="Trade Gothic Next Rounded" w:hAnsi="Trade Gothic Next Rounded" w:cs="Arial"/>
          <w:color w:val="030303"/>
          <w:w w:val="105"/>
          <w:sz w:val="24"/>
          <w:szCs w:val="24"/>
        </w:rPr>
        <w:t xml:space="preserve"> hearing include:</w:t>
      </w:r>
    </w:p>
    <w:p w14:paraId="7152AA5D" w14:textId="29BDC6F5" w:rsidR="00061F1B" w:rsidRDefault="00061F1B" w:rsidP="00061F1B">
      <w:pPr>
        <w:pStyle w:val="ListParagraph"/>
        <w:numPr>
          <w:ilvl w:val="0"/>
          <w:numId w:val="31"/>
        </w:numPr>
        <w:spacing w:before="5" w:after="0" w:line="240" w:lineRule="auto"/>
        <w:ind w:right="-180"/>
        <w:rPr>
          <w:rFonts w:ascii="Trade Gothic Next Rounded" w:hAnsi="Trade Gothic Next Rounded" w:cs="Arial"/>
          <w:color w:val="030303"/>
          <w:w w:val="105"/>
          <w:sz w:val="24"/>
          <w:szCs w:val="24"/>
        </w:rPr>
      </w:pPr>
      <w:r>
        <w:rPr>
          <w:rFonts w:ascii="Trade Gothic Next Rounded" w:hAnsi="Trade Gothic Next Rounded" w:cs="Arial"/>
          <w:color w:val="030303"/>
          <w:w w:val="105"/>
          <w:sz w:val="24"/>
          <w:szCs w:val="24"/>
        </w:rPr>
        <w:t>A concurrence that the Powell Butte Highway/OR 126 intersection and alternative Juniper Access are the primary planning concerns.</w:t>
      </w:r>
    </w:p>
    <w:p w14:paraId="5ACE3A2B" w14:textId="77777777" w:rsidR="00061F1B" w:rsidRDefault="00061F1B" w:rsidP="00061F1B">
      <w:pPr>
        <w:pStyle w:val="ListParagraph"/>
        <w:numPr>
          <w:ilvl w:val="0"/>
          <w:numId w:val="31"/>
        </w:numPr>
        <w:spacing w:before="5" w:after="0" w:line="240" w:lineRule="auto"/>
        <w:ind w:right="-180"/>
        <w:rPr>
          <w:rFonts w:ascii="Trade Gothic Next Rounded" w:hAnsi="Trade Gothic Next Rounded" w:cs="Arial"/>
          <w:color w:val="030303"/>
          <w:w w:val="105"/>
          <w:sz w:val="24"/>
          <w:szCs w:val="24"/>
        </w:rPr>
      </w:pPr>
      <w:r>
        <w:rPr>
          <w:rFonts w:ascii="Trade Gothic Next Rounded" w:hAnsi="Trade Gothic Next Rounded" w:cs="Arial"/>
          <w:color w:val="030303"/>
          <w:w w:val="105"/>
          <w:sz w:val="24"/>
          <w:szCs w:val="24"/>
        </w:rPr>
        <w:t>As projects enter the design phase, access for emergency services and the mobility of freight and ranchers should remain top priorities.</w:t>
      </w:r>
    </w:p>
    <w:p w14:paraId="3CE56C0C" w14:textId="77777777" w:rsidR="00061F1B" w:rsidRDefault="00061F1B" w:rsidP="00061F1B">
      <w:pPr>
        <w:pStyle w:val="ListParagraph"/>
        <w:numPr>
          <w:ilvl w:val="0"/>
          <w:numId w:val="31"/>
        </w:numPr>
        <w:spacing w:before="5" w:after="0" w:line="240" w:lineRule="auto"/>
        <w:ind w:right="-180"/>
        <w:rPr>
          <w:rFonts w:ascii="Trade Gothic Next Rounded" w:hAnsi="Trade Gothic Next Rounded" w:cs="Arial"/>
          <w:color w:val="030303"/>
          <w:w w:val="105"/>
          <w:sz w:val="24"/>
          <w:szCs w:val="24"/>
        </w:rPr>
      </w:pPr>
      <w:r>
        <w:rPr>
          <w:rFonts w:ascii="Trade Gothic Next Rounded" w:hAnsi="Trade Gothic Next Rounded" w:cs="Arial"/>
          <w:color w:val="030303"/>
          <w:w w:val="105"/>
          <w:sz w:val="24"/>
          <w:szCs w:val="24"/>
        </w:rPr>
        <w:t>Until some of these projects can be constructed, a greater law enforcement presence should be considered.</w:t>
      </w:r>
    </w:p>
    <w:p w14:paraId="71E27FF7" w14:textId="7409FFD6" w:rsidR="00061F1B" w:rsidRPr="00061F1B" w:rsidRDefault="00061F1B" w:rsidP="00061F1B">
      <w:pPr>
        <w:pStyle w:val="ListParagraph"/>
        <w:numPr>
          <w:ilvl w:val="0"/>
          <w:numId w:val="31"/>
        </w:numPr>
        <w:spacing w:before="5" w:after="0" w:line="240" w:lineRule="auto"/>
        <w:ind w:right="-180"/>
        <w:rPr>
          <w:rFonts w:ascii="Trade Gothic Next Rounded" w:hAnsi="Trade Gothic Next Rounded" w:cs="Arial"/>
          <w:color w:val="030303"/>
          <w:w w:val="105"/>
          <w:sz w:val="24"/>
          <w:szCs w:val="24"/>
        </w:rPr>
      </w:pPr>
      <w:r>
        <w:rPr>
          <w:rFonts w:ascii="Trade Gothic Next Rounded" w:hAnsi="Trade Gothic Next Rounded" w:cs="Arial"/>
          <w:color w:val="030303"/>
          <w:w w:val="105"/>
          <w:sz w:val="24"/>
          <w:szCs w:val="24"/>
        </w:rPr>
        <w:t xml:space="preserve">The Board should continue to receive and consider public input as it finalizes the 2025 TSP. </w:t>
      </w:r>
    </w:p>
    <w:p w14:paraId="1C653FD6" w14:textId="77777777" w:rsidR="00947EB4" w:rsidRDefault="00947EB4" w:rsidP="00F664C0">
      <w:pPr>
        <w:spacing w:before="5" w:after="0" w:line="240" w:lineRule="auto"/>
        <w:ind w:right="-180"/>
        <w:rPr>
          <w:rFonts w:ascii="Arial" w:hAnsi="Arial" w:cs="Arial"/>
          <w:color w:val="030303"/>
          <w:w w:val="105"/>
          <w:sz w:val="24"/>
          <w:szCs w:val="24"/>
        </w:rPr>
      </w:pPr>
    </w:p>
    <w:p w14:paraId="1E67EEDE" w14:textId="73F42EF1" w:rsidR="000956F6" w:rsidRDefault="0061611A" w:rsidP="00061F1B">
      <w:pPr>
        <w:pStyle w:val="Heading1"/>
      </w:pPr>
      <w:r>
        <w:t>Conclusion and Recommendation</w:t>
      </w:r>
    </w:p>
    <w:p w14:paraId="78F727D7" w14:textId="07E19923" w:rsidR="0061611A" w:rsidRPr="0061611A" w:rsidRDefault="0061611A" w:rsidP="0061611A">
      <w:pPr>
        <w:pStyle w:val="NormalWeb"/>
        <w:rPr>
          <w:rFonts w:ascii="Arial" w:hAnsi="Arial" w:cs="Arial"/>
        </w:rPr>
      </w:pPr>
      <w:r w:rsidRPr="0061611A">
        <w:rPr>
          <w:rStyle w:val="selected"/>
          <w:rFonts w:ascii="Arial" w:hAnsi="Arial" w:cs="Arial"/>
        </w:rPr>
        <w:t xml:space="preserve">The 2025 TSP Update provides a data-driven, community-vetted roadmap for improving Crook County’s transportation system over the next 20 years. It addresses critical existing and future needs related to safety, congestion, and access. Adopting this plan is the essential next step that will position the County to pursue grant funding </w:t>
      </w:r>
      <w:r w:rsidR="00061F1B">
        <w:rPr>
          <w:rStyle w:val="selected"/>
          <w:rFonts w:ascii="Arial" w:hAnsi="Arial" w:cs="Arial"/>
        </w:rPr>
        <w:t xml:space="preserve">and develop the dedicated revenue sources </w:t>
      </w:r>
      <w:r w:rsidRPr="0061611A">
        <w:rPr>
          <w:rStyle w:val="selected"/>
          <w:rFonts w:ascii="Arial" w:hAnsi="Arial" w:cs="Arial"/>
        </w:rPr>
        <w:t>necessary to turn these proposed projects into reality.</w:t>
      </w:r>
    </w:p>
    <w:p w14:paraId="3CC050A7" w14:textId="77777777" w:rsidR="0061611A" w:rsidRPr="0061611A" w:rsidRDefault="0061611A" w:rsidP="0061611A">
      <w:pPr>
        <w:pStyle w:val="NormalWeb"/>
        <w:rPr>
          <w:rFonts w:ascii="Arial" w:hAnsi="Arial" w:cs="Arial"/>
        </w:rPr>
      </w:pPr>
      <w:r w:rsidRPr="0061611A">
        <w:rPr>
          <w:rStyle w:val="selected"/>
          <w:rFonts w:ascii="Arial" w:hAnsi="Arial" w:cs="Arial"/>
        </w:rPr>
        <w:t>It is recommended that the Board of Commissioners approve the ordinance to formally adopt the 2025 Crook County Transportation System Plan.</w:t>
      </w:r>
    </w:p>
    <w:p w14:paraId="7E42C0FC" w14:textId="7E0E8651" w:rsidR="000956F6" w:rsidRDefault="00061F1B" w:rsidP="00F664C0">
      <w:pPr>
        <w:spacing w:before="5" w:after="0" w:line="240" w:lineRule="auto"/>
        <w:ind w:right="-180"/>
        <w:rPr>
          <w:rFonts w:ascii="Arial" w:hAnsi="Arial" w:cs="Arial"/>
          <w:color w:val="030303"/>
          <w:w w:val="105"/>
          <w:sz w:val="24"/>
          <w:szCs w:val="24"/>
        </w:rPr>
      </w:pPr>
      <w:r>
        <w:rPr>
          <w:rFonts w:ascii="Trade Gothic Next Rounded" w:hAnsi="Trade Gothic Next Rounded" w:cs="Arial"/>
          <w:color w:val="030303"/>
          <w:w w:val="105"/>
          <w:sz w:val="24"/>
          <w:szCs w:val="24"/>
        </w:rPr>
        <w:t>P</w:t>
      </w:r>
      <w:r w:rsidR="000956F6">
        <w:rPr>
          <w:rFonts w:ascii="Trade Gothic Next Rounded" w:hAnsi="Trade Gothic Next Rounded" w:cs="Arial"/>
          <w:color w:val="030303"/>
          <w:w w:val="105"/>
          <w:sz w:val="24"/>
          <w:szCs w:val="24"/>
        </w:rPr>
        <w:t>lease let me know if you have any questions.</w:t>
      </w:r>
    </w:p>
    <w:p w14:paraId="0D59A497" w14:textId="77777777" w:rsidR="001D5663" w:rsidRDefault="001D5663" w:rsidP="00F664C0">
      <w:pPr>
        <w:spacing w:before="5" w:after="0" w:line="240" w:lineRule="auto"/>
        <w:ind w:right="-180"/>
        <w:rPr>
          <w:rFonts w:ascii="Arial" w:hAnsi="Arial" w:cs="Arial"/>
          <w:color w:val="030303"/>
          <w:w w:val="105"/>
          <w:sz w:val="24"/>
          <w:szCs w:val="24"/>
        </w:rPr>
      </w:pPr>
    </w:p>
    <w:p w14:paraId="01CBC7A4" w14:textId="77777777" w:rsidR="008E51E1" w:rsidRDefault="008E51E1" w:rsidP="00F664C0">
      <w:pPr>
        <w:spacing w:before="5" w:after="0" w:line="240" w:lineRule="auto"/>
        <w:ind w:right="-180"/>
        <w:rPr>
          <w:rFonts w:ascii="Arial" w:hAnsi="Arial" w:cs="Arial"/>
          <w:color w:val="030303"/>
          <w:w w:val="105"/>
          <w:sz w:val="24"/>
          <w:szCs w:val="24"/>
        </w:rPr>
      </w:pPr>
    </w:p>
    <w:p w14:paraId="030AA0EA" w14:textId="77777777" w:rsidR="00D25557" w:rsidRPr="00D41974" w:rsidRDefault="00D25557" w:rsidP="00F664C0">
      <w:pPr>
        <w:spacing w:before="5" w:after="0" w:line="240" w:lineRule="auto"/>
        <w:ind w:right="-180"/>
        <w:rPr>
          <w:rFonts w:ascii="Arial" w:hAnsi="Arial" w:cs="Arial"/>
          <w:color w:val="030303"/>
          <w:w w:val="105"/>
          <w:sz w:val="24"/>
          <w:szCs w:val="24"/>
        </w:rPr>
      </w:pPr>
    </w:p>
    <w:sectPr w:rsidR="00D25557" w:rsidRPr="00D41974" w:rsidSect="00571B0A">
      <w:footerReference w:type="default" r:id="rId13"/>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0537D" w14:textId="77777777" w:rsidR="00556229" w:rsidRDefault="00556229" w:rsidP="0037590E">
      <w:pPr>
        <w:spacing w:after="0" w:line="240" w:lineRule="auto"/>
      </w:pPr>
      <w:r>
        <w:separator/>
      </w:r>
    </w:p>
    <w:p w14:paraId="73BFD7D2" w14:textId="77777777" w:rsidR="00556229" w:rsidRDefault="00556229"/>
  </w:endnote>
  <w:endnote w:type="continuationSeparator" w:id="0">
    <w:p w14:paraId="7E52D309" w14:textId="77777777" w:rsidR="00556229" w:rsidRDefault="00556229" w:rsidP="0037590E">
      <w:pPr>
        <w:spacing w:after="0" w:line="240" w:lineRule="auto"/>
      </w:pPr>
      <w:r>
        <w:continuationSeparator/>
      </w:r>
    </w:p>
    <w:p w14:paraId="4A76F336" w14:textId="77777777" w:rsidR="00556229" w:rsidRDefault="00556229"/>
  </w:endnote>
  <w:endnote w:type="continuationNotice" w:id="1">
    <w:p w14:paraId="213AC9F9" w14:textId="77777777" w:rsidR="00556229" w:rsidRDefault="00556229">
      <w:pPr>
        <w:spacing w:after="0" w:line="240" w:lineRule="auto"/>
      </w:pPr>
    </w:p>
    <w:p w14:paraId="676325DA" w14:textId="77777777" w:rsidR="00556229" w:rsidRDefault="005562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 Gothic Next Rounded">
    <w:charset w:val="00"/>
    <w:family w:val="swiss"/>
    <w:pitch w:val="variable"/>
    <w:sig w:usb0="8000002F" w:usb1="0000000A" w:usb2="00000000" w:usb3="00000000" w:csb0="00000001" w:csb1="00000000"/>
  </w:font>
  <w:font w:name="Trade Gothic Next">
    <w:charset w:val="00"/>
    <w:family w:val="swiss"/>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654573"/>
      <w:docPartObj>
        <w:docPartGallery w:val="Page Numbers (Bottom of Page)"/>
        <w:docPartUnique/>
      </w:docPartObj>
    </w:sdtPr>
    <w:sdtContent>
      <w:sdt>
        <w:sdtPr>
          <w:id w:val="-1769616900"/>
          <w:docPartObj>
            <w:docPartGallery w:val="Page Numbers (Top of Page)"/>
            <w:docPartUnique/>
          </w:docPartObj>
        </w:sdtPr>
        <w:sdtContent>
          <w:p w14:paraId="7DC8FCE1" w14:textId="49FFC857" w:rsidR="000773FC" w:rsidRDefault="000773F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2A32AE6" w14:textId="77777777" w:rsidR="000773FC" w:rsidRDefault="000773FC">
    <w:pPr>
      <w:pStyle w:val="Footer"/>
    </w:pPr>
  </w:p>
  <w:p w14:paraId="130CAD08" w14:textId="77777777" w:rsidR="001D0051" w:rsidRDefault="001D00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90508" w14:textId="77777777" w:rsidR="00556229" w:rsidRDefault="00556229" w:rsidP="0037590E">
      <w:pPr>
        <w:spacing w:after="0" w:line="240" w:lineRule="auto"/>
      </w:pPr>
      <w:r>
        <w:separator/>
      </w:r>
    </w:p>
    <w:p w14:paraId="4122BD4D" w14:textId="77777777" w:rsidR="00556229" w:rsidRDefault="00556229"/>
  </w:footnote>
  <w:footnote w:type="continuationSeparator" w:id="0">
    <w:p w14:paraId="5F52902E" w14:textId="77777777" w:rsidR="00556229" w:rsidRDefault="00556229" w:rsidP="0037590E">
      <w:pPr>
        <w:spacing w:after="0" w:line="240" w:lineRule="auto"/>
      </w:pPr>
      <w:r>
        <w:continuationSeparator/>
      </w:r>
    </w:p>
    <w:p w14:paraId="7D722088" w14:textId="77777777" w:rsidR="00556229" w:rsidRDefault="00556229"/>
  </w:footnote>
  <w:footnote w:type="continuationNotice" w:id="1">
    <w:p w14:paraId="0756587E" w14:textId="77777777" w:rsidR="00556229" w:rsidRDefault="00556229">
      <w:pPr>
        <w:spacing w:after="0" w:line="240" w:lineRule="auto"/>
      </w:pPr>
    </w:p>
    <w:p w14:paraId="168D9CC3" w14:textId="77777777" w:rsidR="00556229" w:rsidRDefault="005562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7BFC"/>
    <w:multiLevelType w:val="hybridMultilevel"/>
    <w:tmpl w:val="1E74AAAE"/>
    <w:lvl w:ilvl="0" w:tplc="ADECB85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919"/>
    <w:multiLevelType w:val="multilevel"/>
    <w:tmpl w:val="8BCED67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0B0E4D32"/>
    <w:multiLevelType w:val="hybridMultilevel"/>
    <w:tmpl w:val="7BDE527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10071344"/>
    <w:multiLevelType w:val="hybridMultilevel"/>
    <w:tmpl w:val="8DE03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21D13"/>
    <w:multiLevelType w:val="hybridMultilevel"/>
    <w:tmpl w:val="74A2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E3770"/>
    <w:multiLevelType w:val="hybridMultilevel"/>
    <w:tmpl w:val="645446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B7C41"/>
    <w:multiLevelType w:val="hybridMultilevel"/>
    <w:tmpl w:val="19042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196B23"/>
    <w:multiLevelType w:val="hybridMultilevel"/>
    <w:tmpl w:val="5EE618C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FE28B9"/>
    <w:multiLevelType w:val="hybridMultilevel"/>
    <w:tmpl w:val="F14213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2511CB"/>
    <w:multiLevelType w:val="hybridMultilevel"/>
    <w:tmpl w:val="B302D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5A0BD9"/>
    <w:multiLevelType w:val="hybridMultilevel"/>
    <w:tmpl w:val="6FCA26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1241A"/>
    <w:multiLevelType w:val="hybridMultilevel"/>
    <w:tmpl w:val="40D0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2077A7"/>
    <w:multiLevelType w:val="hybridMultilevel"/>
    <w:tmpl w:val="0A3C0D2E"/>
    <w:lvl w:ilvl="0" w:tplc="03D67CBC">
      <w:start w:val="2"/>
      <w:numFmt w:val="lowerLetter"/>
      <w:lvlText w:val="(%1)"/>
      <w:lvlJc w:val="left"/>
      <w:pPr>
        <w:ind w:left="792" w:hanging="309"/>
      </w:pPr>
      <w:rPr>
        <w:rFonts w:ascii="Arial" w:eastAsia="Arial" w:hAnsi="Arial" w:cs="Arial" w:hint="default"/>
        <w:b w:val="0"/>
        <w:bCs w:val="0"/>
        <w:i w:val="0"/>
        <w:iCs w:val="0"/>
        <w:color w:val="010101"/>
        <w:spacing w:val="-1"/>
        <w:w w:val="103"/>
        <w:sz w:val="20"/>
        <w:szCs w:val="20"/>
        <w:lang w:val="en-US" w:eastAsia="en-US" w:bidi="ar-SA"/>
      </w:rPr>
    </w:lvl>
    <w:lvl w:ilvl="1" w:tplc="B14E8F78">
      <w:start w:val="1"/>
      <w:numFmt w:val="lowerRoman"/>
      <w:lvlText w:val="(%2)"/>
      <w:lvlJc w:val="left"/>
      <w:pPr>
        <w:ind w:left="1279" w:hanging="239"/>
      </w:pPr>
      <w:rPr>
        <w:rFonts w:hint="default"/>
        <w:spacing w:val="-1"/>
        <w:w w:val="107"/>
        <w:lang w:val="en-US" w:eastAsia="en-US" w:bidi="ar-SA"/>
      </w:rPr>
    </w:lvl>
    <w:lvl w:ilvl="2" w:tplc="517678C8">
      <w:numFmt w:val="bullet"/>
      <w:lvlText w:val="•"/>
      <w:lvlJc w:val="left"/>
      <w:pPr>
        <w:ind w:left="2324" w:hanging="239"/>
      </w:pPr>
      <w:rPr>
        <w:rFonts w:hint="default"/>
        <w:lang w:val="en-US" w:eastAsia="en-US" w:bidi="ar-SA"/>
      </w:rPr>
    </w:lvl>
    <w:lvl w:ilvl="3" w:tplc="1646FABC">
      <w:numFmt w:val="bullet"/>
      <w:lvlText w:val="•"/>
      <w:lvlJc w:val="left"/>
      <w:pPr>
        <w:ind w:left="3368" w:hanging="239"/>
      </w:pPr>
      <w:rPr>
        <w:rFonts w:hint="default"/>
        <w:lang w:val="en-US" w:eastAsia="en-US" w:bidi="ar-SA"/>
      </w:rPr>
    </w:lvl>
    <w:lvl w:ilvl="4" w:tplc="BD6207EE">
      <w:numFmt w:val="bullet"/>
      <w:lvlText w:val="•"/>
      <w:lvlJc w:val="left"/>
      <w:pPr>
        <w:ind w:left="4413" w:hanging="239"/>
      </w:pPr>
      <w:rPr>
        <w:rFonts w:hint="default"/>
        <w:lang w:val="en-US" w:eastAsia="en-US" w:bidi="ar-SA"/>
      </w:rPr>
    </w:lvl>
    <w:lvl w:ilvl="5" w:tplc="6E30868A">
      <w:numFmt w:val="bullet"/>
      <w:lvlText w:val="•"/>
      <w:lvlJc w:val="left"/>
      <w:pPr>
        <w:ind w:left="5457" w:hanging="239"/>
      </w:pPr>
      <w:rPr>
        <w:rFonts w:hint="default"/>
        <w:lang w:val="en-US" w:eastAsia="en-US" w:bidi="ar-SA"/>
      </w:rPr>
    </w:lvl>
    <w:lvl w:ilvl="6" w:tplc="C2A4B6C8">
      <w:numFmt w:val="bullet"/>
      <w:lvlText w:val="•"/>
      <w:lvlJc w:val="left"/>
      <w:pPr>
        <w:ind w:left="6502" w:hanging="239"/>
      </w:pPr>
      <w:rPr>
        <w:rFonts w:hint="default"/>
        <w:lang w:val="en-US" w:eastAsia="en-US" w:bidi="ar-SA"/>
      </w:rPr>
    </w:lvl>
    <w:lvl w:ilvl="7" w:tplc="B6BE1160">
      <w:numFmt w:val="bullet"/>
      <w:lvlText w:val="•"/>
      <w:lvlJc w:val="left"/>
      <w:pPr>
        <w:ind w:left="7546" w:hanging="239"/>
      </w:pPr>
      <w:rPr>
        <w:rFonts w:hint="default"/>
        <w:lang w:val="en-US" w:eastAsia="en-US" w:bidi="ar-SA"/>
      </w:rPr>
    </w:lvl>
    <w:lvl w:ilvl="8" w:tplc="F40062D6">
      <w:numFmt w:val="bullet"/>
      <w:lvlText w:val="•"/>
      <w:lvlJc w:val="left"/>
      <w:pPr>
        <w:ind w:left="8591" w:hanging="239"/>
      </w:pPr>
      <w:rPr>
        <w:rFonts w:hint="default"/>
        <w:lang w:val="en-US" w:eastAsia="en-US" w:bidi="ar-SA"/>
      </w:rPr>
    </w:lvl>
  </w:abstractNum>
  <w:abstractNum w:abstractNumId="13" w15:restartNumberingAfterBreak="0">
    <w:nsid w:val="3C2C1F39"/>
    <w:multiLevelType w:val="hybridMultilevel"/>
    <w:tmpl w:val="CAC8DBC6"/>
    <w:lvl w:ilvl="0" w:tplc="7004CFD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52C7E"/>
    <w:multiLevelType w:val="multilevel"/>
    <w:tmpl w:val="8BCED67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3D2E54EA"/>
    <w:multiLevelType w:val="hybridMultilevel"/>
    <w:tmpl w:val="27B4A61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7638D"/>
    <w:multiLevelType w:val="hybridMultilevel"/>
    <w:tmpl w:val="56D0E6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6C63E8"/>
    <w:multiLevelType w:val="hybridMultilevel"/>
    <w:tmpl w:val="99F25B02"/>
    <w:lvl w:ilvl="0" w:tplc="ECD09EE6">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F2AF8"/>
    <w:multiLevelType w:val="hybridMultilevel"/>
    <w:tmpl w:val="2BA25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03921"/>
    <w:multiLevelType w:val="multilevel"/>
    <w:tmpl w:val="BB8C8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215D63"/>
    <w:multiLevelType w:val="hybridMultilevel"/>
    <w:tmpl w:val="6454464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911C80"/>
    <w:multiLevelType w:val="multilevel"/>
    <w:tmpl w:val="FCF4E6C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7174B9C"/>
    <w:multiLevelType w:val="hybridMultilevel"/>
    <w:tmpl w:val="6DE8F8BE"/>
    <w:lvl w:ilvl="0" w:tplc="04090013">
      <w:start w:val="1"/>
      <w:numFmt w:val="upperRoman"/>
      <w:lvlText w:val="%1."/>
      <w:lvlJc w:val="right"/>
      <w:pPr>
        <w:ind w:left="2325" w:hanging="360"/>
      </w:pPr>
    </w:lvl>
    <w:lvl w:ilvl="1" w:tplc="04090019" w:tentative="1">
      <w:start w:val="1"/>
      <w:numFmt w:val="lowerLetter"/>
      <w:lvlText w:val="%2."/>
      <w:lvlJc w:val="left"/>
      <w:pPr>
        <w:ind w:left="3045" w:hanging="360"/>
      </w:pPr>
    </w:lvl>
    <w:lvl w:ilvl="2" w:tplc="0409001B" w:tentative="1">
      <w:start w:val="1"/>
      <w:numFmt w:val="lowerRoman"/>
      <w:lvlText w:val="%3."/>
      <w:lvlJc w:val="right"/>
      <w:pPr>
        <w:ind w:left="3765" w:hanging="180"/>
      </w:pPr>
    </w:lvl>
    <w:lvl w:ilvl="3" w:tplc="0409000F" w:tentative="1">
      <w:start w:val="1"/>
      <w:numFmt w:val="decimal"/>
      <w:lvlText w:val="%4."/>
      <w:lvlJc w:val="left"/>
      <w:pPr>
        <w:ind w:left="4485" w:hanging="360"/>
      </w:pPr>
    </w:lvl>
    <w:lvl w:ilvl="4" w:tplc="04090019" w:tentative="1">
      <w:start w:val="1"/>
      <w:numFmt w:val="lowerLetter"/>
      <w:lvlText w:val="%5."/>
      <w:lvlJc w:val="left"/>
      <w:pPr>
        <w:ind w:left="5205" w:hanging="360"/>
      </w:pPr>
    </w:lvl>
    <w:lvl w:ilvl="5" w:tplc="0409001B" w:tentative="1">
      <w:start w:val="1"/>
      <w:numFmt w:val="lowerRoman"/>
      <w:lvlText w:val="%6."/>
      <w:lvlJc w:val="right"/>
      <w:pPr>
        <w:ind w:left="5925" w:hanging="180"/>
      </w:pPr>
    </w:lvl>
    <w:lvl w:ilvl="6" w:tplc="0409000F" w:tentative="1">
      <w:start w:val="1"/>
      <w:numFmt w:val="decimal"/>
      <w:lvlText w:val="%7."/>
      <w:lvlJc w:val="left"/>
      <w:pPr>
        <w:ind w:left="6645" w:hanging="360"/>
      </w:pPr>
    </w:lvl>
    <w:lvl w:ilvl="7" w:tplc="04090019" w:tentative="1">
      <w:start w:val="1"/>
      <w:numFmt w:val="lowerLetter"/>
      <w:lvlText w:val="%8."/>
      <w:lvlJc w:val="left"/>
      <w:pPr>
        <w:ind w:left="7365" w:hanging="360"/>
      </w:pPr>
    </w:lvl>
    <w:lvl w:ilvl="8" w:tplc="0409001B" w:tentative="1">
      <w:start w:val="1"/>
      <w:numFmt w:val="lowerRoman"/>
      <w:lvlText w:val="%9."/>
      <w:lvlJc w:val="right"/>
      <w:pPr>
        <w:ind w:left="8085" w:hanging="180"/>
      </w:pPr>
    </w:lvl>
  </w:abstractNum>
  <w:abstractNum w:abstractNumId="23" w15:restartNumberingAfterBreak="0">
    <w:nsid w:val="5B800804"/>
    <w:multiLevelType w:val="hybridMultilevel"/>
    <w:tmpl w:val="4ADAFE28"/>
    <w:lvl w:ilvl="0" w:tplc="E36081BC">
      <w:start w:val="1"/>
      <w:numFmt w:val="decimal"/>
      <w:lvlText w:val="%1."/>
      <w:lvlJc w:val="left"/>
      <w:pPr>
        <w:ind w:left="1015" w:hanging="408"/>
      </w:pPr>
      <w:rPr>
        <w:rFonts w:hint="default"/>
        <w:spacing w:val="-1"/>
        <w:w w:val="102"/>
        <w:lang w:val="en-US" w:eastAsia="en-US" w:bidi="ar-SA"/>
      </w:rPr>
    </w:lvl>
    <w:lvl w:ilvl="1" w:tplc="701A08E6">
      <w:start w:val="1"/>
      <w:numFmt w:val="lowerRoman"/>
      <w:lvlText w:val="(%2)"/>
      <w:lvlJc w:val="left"/>
      <w:pPr>
        <w:ind w:left="1530" w:hanging="237"/>
      </w:pPr>
      <w:rPr>
        <w:rFonts w:hint="default"/>
        <w:spacing w:val="-1"/>
        <w:w w:val="88"/>
        <w:lang w:val="en-US" w:eastAsia="en-US" w:bidi="ar-SA"/>
      </w:rPr>
    </w:lvl>
    <w:lvl w:ilvl="2" w:tplc="B2A4DAD2">
      <w:numFmt w:val="bullet"/>
      <w:lvlText w:val="•"/>
      <w:lvlJc w:val="left"/>
      <w:pPr>
        <w:ind w:left="1560" w:hanging="237"/>
      </w:pPr>
      <w:rPr>
        <w:rFonts w:hint="default"/>
        <w:lang w:val="en-US" w:eastAsia="en-US" w:bidi="ar-SA"/>
      </w:rPr>
    </w:lvl>
    <w:lvl w:ilvl="3" w:tplc="5B228E48">
      <w:numFmt w:val="bullet"/>
      <w:lvlText w:val="•"/>
      <w:lvlJc w:val="left"/>
      <w:pPr>
        <w:ind w:left="2700" w:hanging="237"/>
      </w:pPr>
      <w:rPr>
        <w:rFonts w:hint="default"/>
        <w:lang w:val="en-US" w:eastAsia="en-US" w:bidi="ar-SA"/>
      </w:rPr>
    </w:lvl>
    <w:lvl w:ilvl="4" w:tplc="DB783A4C">
      <w:numFmt w:val="bullet"/>
      <w:lvlText w:val="•"/>
      <w:lvlJc w:val="left"/>
      <w:pPr>
        <w:ind w:left="3840" w:hanging="237"/>
      </w:pPr>
      <w:rPr>
        <w:rFonts w:hint="default"/>
        <w:lang w:val="en-US" w:eastAsia="en-US" w:bidi="ar-SA"/>
      </w:rPr>
    </w:lvl>
    <w:lvl w:ilvl="5" w:tplc="F180722E">
      <w:numFmt w:val="bullet"/>
      <w:lvlText w:val="•"/>
      <w:lvlJc w:val="left"/>
      <w:pPr>
        <w:ind w:left="4980" w:hanging="237"/>
      </w:pPr>
      <w:rPr>
        <w:rFonts w:hint="default"/>
        <w:lang w:val="en-US" w:eastAsia="en-US" w:bidi="ar-SA"/>
      </w:rPr>
    </w:lvl>
    <w:lvl w:ilvl="6" w:tplc="B700F848">
      <w:numFmt w:val="bullet"/>
      <w:lvlText w:val="•"/>
      <w:lvlJc w:val="left"/>
      <w:pPr>
        <w:ind w:left="6120" w:hanging="237"/>
      </w:pPr>
      <w:rPr>
        <w:rFonts w:hint="default"/>
        <w:lang w:val="en-US" w:eastAsia="en-US" w:bidi="ar-SA"/>
      </w:rPr>
    </w:lvl>
    <w:lvl w:ilvl="7" w:tplc="75ACAB14">
      <w:numFmt w:val="bullet"/>
      <w:lvlText w:val="•"/>
      <w:lvlJc w:val="left"/>
      <w:pPr>
        <w:ind w:left="7260" w:hanging="237"/>
      </w:pPr>
      <w:rPr>
        <w:rFonts w:hint="default"/>
        <w:lang w:val="en-US" w:eastAsia="en-US" w:bidi="ar-SA"/>
      </w:rPr>
    </w:lvl>
    <w:lvl w:ilvl="8" w:tplc="D0283FF2">
      <w:numFmt w:val="bullet"/>
      <w:lvlText w:val="•"/>
      <w:lvlJc w:val="left"/>
      <w:pPr>
        <w:ind w:left="8400" w:hanging="237"/>
      </w:pPr>
      <w:rPr>
        <w:rFonts w:hint="default"/>
        <w:lang w:val="en-US" w:eastAsia="en-US" w:bidi="ar-SA"/>
      </w:rPr>
    </w:lvl>
  </w:abstractNum>
  <w:abstractNum w:abstractNumId="24" w15:restartNumberingAfterBreak="0">
    <w:nsid w:val="60C23685"/>
    <w:multiLevelType w:val="multilevel"/>
    <w:tmpl w:val="8BCED67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5" w15:restartNumberingAfterBreak="0">
    <w:nsid w:val="625F3333"/>
    <w:multiLevelType w:val="hybridMultilevel"/>
    <w:tmpl w:val="482295B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6EA5FBA"/>
    <w:multiLevelType w:val="hybridMultilevel"/>
    <w:tmpl w:val="7AFA5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3C6813"/>
    <w:multiLevelType w:val="hybridMultilevel"/>
    <w:tmpl w:val="CA2CA9B2"/>
    <w:lvl w:ilvl="0" w:tplc="13EA6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D15762"/>
    <w:multiLevelType w:val="hybridMultilevel"/>
    <w:tmpl w:val="4C1ADCEA"/>
    <w:lvl w:ilvl="0" w:tplc="77D83984">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806836"/>
    <w:multiLevelType w:val="multilevel"/>
    <w:tmpl w:val="6F70894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152256892">
    <w:abstractNumId w:val="18"/>
  </w:num>
  <w:num w:numId="2" w16cid:durableId="293681970">
    <w:abstractNumId w:val="13"/>
  </w:num>
  <w:num w:numId="3" w16cid:durableId="1198473206">
    <w:abstractNumId w:val="12"/>
  </w:num>
  <w:num w:numId="4" w16cid:durableId="2016611700">
    <w:abstractNumId w:val="23"/>
  </w:num>
  <w:num w:numId="5" w16cid:durableId="1962614979">
    <w:abstractNumId w:val="4"/>
  </w:num>
  <w:num w:numId="6" w16cid:durableId="537205673">
    <w:abstractNumId w:val="0"/>
  </w:num>
  <w:num w:numId="7" w16cid:durableId="1617906984">
    <w:abstractNumId w:val="6"/>
  </w:num>
  <w:num w:numId="8" w16cid:durableId="2017804353">
    <w:abstractNumId w:val="15"/>
  </w:num>
  <w:num w:numId="9" w16cid:durableId="1490907205">
    <w:abstractNumId w:val="25"/>
  </w:num>
  <w:num w:numId="10" w16cid:durableId="1944220511">
    <w:abstractNumId w:val="26"/>
  </w:num>
  <w:num w:numId="11" w16cid:durableId="1827160462">
    <w:abstractNumId w:val="10"/>
  </w:num>
  <w:num w:numId="12" w16cid:durableId="2130976720">
    <w:abstractNumId w:val="7"/>
  </w:num>
  <w:num w:numId="13" w16cid:durableId="614170340">
    <w:abstractNumId w:val="22"/>
  </w:num>
  <w:num w:numId="14" w16cid:durableId="1136676643">
    <w:abstractNumId w:val="11"/>
  </w:num>
  <w:num w:numId="15" w16cid:durableId="421728014">
    <w:abstractNumId w:val="8"/>
  </w:num>
  <w:num w:numId="16" w16cid:durableId="1144473337">
    <w:abstractNumId w:val="3"/>
  </w:num>
  <w:num w:numId="17" w16cid:durableId="883296030">
    <w:abstractNumId w:val="9"/>
  </w:num>
  <w:num w:numId="18" w16cid:durableId="1480733832">
    <w:abstractNumId w:val="27"/>
  </w:num>
  <w:num w:numId="19" w16cid:durableId="1539780458">
    <w:abstractNumId w:val="17"/>
  </w:num>
  <w:num w:numId="20" w16cid:durableId="850215202">
    <w:abstractNumId w:val="28"/>
  </w:num>
  <w:num w:numId="21" w16cid:durableId="683823893">
    <w:abstractNumId w:val="5"/>
  </w:num>
  <w:num w:numId="22" w16cid:durableId="1526669594">
    <w:abstractNumId w:val="16"/>
  </w:num>
  <w:num w:numId="23" w16cid:durableId="1511677312">
    <w:abstractNumId w:val="20"/>
  </w:num>
  <w:num w:numId="24" w16cid:durableId="368844311">
    <w:abstractNumId w:val="2"/>
  </w:num>
  <w:num w:numId="25" w16cid:durableId="39869668">
    <w:abstractNumId w:val="19"/>
  </w:num>
  <w:num w:numId="26" w16cid:durableId="976838685">
    <w:abstractNumId w:val="29"/>
  </w:num>
  <w:num w:numId="27" w16cid:durableId="731541574">
    <w:abstractNumId w:val="24"/>
  </w:num>
  <w:num w:numId="28" w16cid:durableId="808782965">
    <w:abstractNumId w:val="21"/>
  </w:num>
  <w:num w:numId="29" w16cid:durableId="1788041940">
    <w:abstractNumId w:val="28"/>
    <w:lvlOverride w:ilvl="0">
      <w:startOverride w:val="1"/>
    </w:lvlOverride>
  </w:num>
  <w:num w:numId="30" w16cid:durableId="176627188">
    <w:abstractNumId w:val="14"/>
  </w:num>
  <w:num w:numId="31" w16cid:durableId="1422607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E7F"/>
    <w:rsid w:val="00000DC6"/>
    <w:rsid w:val="00004E39"/>
    <w:rsid w:val="000067A2"/>
    <w:rsid w:val="00011EB9"/>
    <w:rsid w:val="00012604"/>
    <w:rsid w:val="00021017"/>
    <w:rsid w:val="00021078"/>
    <w:rsid w:val="00022148"/>
    <w:rsid w:val="00024CA1"/>
    <w:rsid w:val="00036828"/>
    <w:rsid w:val="000425C2"/>
    <w:rsid w:val="00044CC5"/>
    <w:rsid w:val="000468B7"/>
    <w:rsid w:val="000538BC"/>
    <w:rsid w:val="0006148D"/>
    <w:rsid w:val="000617AB"/>
    <w:rsid w:val="00061F1B"/>
    <w:rsid w:val="000659AC"/>
    <w:rsid w:val="00073640"/>
    <w:rsid w:val="000773FC"/>
    <w:rsid w:val="00080316"/>
    <w:rsid w:val="000856E6"/>
    <w:rsid w:val="00086E53"/>
    <w:rsid w:val="00090A2C"/>
    <w:rsid w:val="000911DA"/>
    <w:rsid w:val="00094EC0"/>
    <w:rsid w:val="00094F02"/>
    <w:rsid w:val="000956F6"/>
    <w:rsid w:val="000A1009"/>
    <w:rsid w:val="000B2622"/>
    <w:rsid w:val="000B2C89"/>
    <w:rsid w:val="000B47A8"/>
    <w:rsid w:val="000B4E80"/>
    <w:rsid w:val="000C1385"/>
    <w:rsid w:val="000C6ADA"/>
    <w:rsid w:val="000D5AB5"/>
    <w:rsid w:val="000D5F9E"/>
    <w:rsid w:val="000D6208"/>
    <w:rsid w:val="000E23BD"/>
    <w:rsid w:val="000E3275"/>
    <w:rsid w:val="000E6498"/>
    <w:rsid w:val="000E72F8"/>
    <w:rsid w:val="000F3B38"/>
    <w:rsid w:val="000F4144"/>
    <w:rsid w:val="00106FBA"/>
    <w:rsid w:val="00114A4D"/>
    <w:rsid w:val="00116CE7"/>
    <w:rsid w:val="00121FA5"/>
    <w:rsid w:val="00122898"/>
    <w:rsid w:val="00123786"/>
    <w:rsid w:val="00123E0D"/>
    <w:rsid w:val="00123EED"/>
    <w:rsid w:val="001307E1"/>
    <w:rsid w:val="00132070"/>
    <w:rsid w:val="00133156"/>
    <w:rsid w:val="00134D8E"/>
    <w:rsid w:val="00135DF6"/>
    <w:rsid w:val="0013694A"/>
    <w:rsid w:val="00147C83"/>
    <w:rsid w:val="00150265"/>
    <w:rsid w:val="001508E5"/>
    <w:rsid w:val="00150C4F"/>
    <w:rsid w:val="00153EF4"/>
    <w:rsid w:val="00154BA3"/>
    <w:rsid w:val="00160CAF"/>
    <w:rsid w:val="0016137C"/>
    <w:rsid w:val="001624F1"/>
    <w:rsid w:val="00175992"/>
    <w:rsid w:val="00191502"/>
    <w:rsid w:val="00192354"/>
    <w:rsid w:val="0019270C"/>
    <w:rsid w:val="00196D21"/>
    <w:rsid w:val="001A1FCD"/>
    <w:rsid w:val="001A2EAD"/>
    <w:rsid w:val="001A5D97"/>
    <w:rsid w:val="001D0051"/>
    <w:rsid w:val="001D10D5"/>
    <w:rsid w:val="001D5663"/>
    <w:rsid w:val="001E1EBA"/>
    <w:rsid w:val="001E3587"/>
    <w:rsid w:val="001E36E4"/>
    <w:rsid w:val="001E5786"/>
    <w:rsid w:val="001F3DDC"/>
    <w:rsid w:val="001F4002"/>
    <w:rsid w:val="002024B2"/>
    <w:rsid w:val="0020349F"/>
    <w:rsid w:val="00207C6E"/>
    <w:rsid w:val="00214973"/>
    <w:rsid w:val="00214D12"/>
    <w:rsid w:val="00216373"/>
    <w:rsid w:val="0021678E"/>
    <w:rsid w:val="00223A98"/>
    <w:rsid w:val="0022417D"/>
    <w:rsid w:val="00224227"/>
    <w:rsid w:val="002247DE"/>
    <w:rsid w:val="002279FC"/>
    <w:rsid w:val="002333B1"/>
    <w:rsid w:val="0023589F"/>
    <w:rsid w:val="0023692C"/>
    <w:rsid w:val="002432B0"/>
    <w:rsid w:val="00245EC7"/>
    <w:rsid w:val="0025058B"/>
    <w:rsid w:val="00252885"/>
    <w:rsid w:val="002706B0"/>
    <w:rsid w:val="0027300D"/>
    <w:rsid w:val="00280D2F"/>
    <w:rsid w:val="0028397B"/>
    <w:rsid w:val="00285721"/>
    <w:rsid w:val="00297933"/>
    <w:rsid w:val="002A0C60"/>
    <w:rsid w:val="002A5481"/>
    <w:rsid w:val="002A760C"/>
    <w:rsid w:val="002A7ECE"/>
    <w:rsid w:val="002B26E9"/>
    <w:rsid w:val="002B2CEF"/>
    <w:rsid w:val="002B32FB"/>
    <w:rsid w:val="002B3C08"/>
    <w:rsid w:val="002B4342"/>
    <w:rsid w:val="002C36E6"/>
    <w:rsid w:val="002C58BA"/>
    <w:rsid w:val="002D2536"/>
    <w:rsid w:val="002D308E"/>
    <w:rsid w:val="002D78A3"/>
    <w:rsid w:val="002E00FC"/>
    <w:rsid w:val="002E4FE2"/>
    <w:rsid w:val="002E6313"/>
    <w:rsid w:val="002F2F4A"/>
    <w:rsid w:val="002F6E43"/>
    <w:rsid w:val="003009B8"/>
    <w:rsid w:val="0030714C"/>
    <w:rsid w:val="00307835"/>
    <w:rsid w:val="00314344"/>
    <w:rsid w:val="00316A56"/>
    <w:rsid w:val="003177AC"/>
    <w:rsid w:val="00322559"/>
    <w:rsid w:val="00323376"/>
    <w:rsid w:val="00324B6D"/>
    <w:rsid w:val="00325AF8"/>
    <w:rsid w:val="0032783F"/>
    <w:rsid w:val="00327AE8"/>
    <w:rsid w:val="00333811"/>
    <w:rsid w:val="00334EED"/>
    <w:rsid w:val="00340FD8"/>
    <w:rsid w:val="003416FF"/>
    <w:rsid w:val="0034373A"/>
    <w:rsid w:val="00343D5E"/>
    <w:rsid w:val="00351DF2"/>
    <w:rsid w:val="00364ADA"/>
    <w:rsid w:val="003672C2"/>
    <w:rsid w:val="0037036D"/>
    <w:rsid w:val="00375498"/>
    <w:rsid w:val="0037590E"/>
    <w:rsid w:val="00385E4C"/>
    <w:rsid w:val="00395E17"/>
    <w:rsid w:val="003A34DD"/>
    <w:rsid w:val="003A5A0E"/>
    <w:rsid w:val="003A6049"/>
    <w:rsid w:val="003A6A96"/>
    <w:rsid w:val="003B074B"/>
    <w:rsid w:val="003B0E77"/>
    <w:rsid w:val="003B4AB6"/>
    <w:rsid w:val="003B740C"/>
    <w:rsid w:val="003C4CF1"/>
    <w:rsid w:val="003D2F81"/>
    <w:rsid w:val="003D58BA"/>
    <w:rsid w:val="003D695D"/>
    <w:rsid w:val="003E016F"/>
    <w:rsid w:val="003E2690"/>
    <w:rsid w:val="003E37AD"/>
    <w:rsid w:val="003F17C5"/>
    <w:rsid w:val="003F6F67"/>
    <w:rsid w:val="003F768F"/>
    <w:rsid w:val="004026FC"/>
    <w:rsid w:val="0040333B"/>
    <w:rsid w:val="0040441E"/>
    <w:rsid w:val="0040608C"/>
    <w:rsid w:val="004078E4"/>
    <w:rsid w:val="004117CB"/>
    <w:rsid w:val="004163AD"/>
    <w:rsid w:val="00416855"/>
    <w:rsid w:val="00434055"/>
    <w:rsid w:val="00435153"/>
    <w:rsid w:val="00443F5F"/>
    <w:rsid w:val="004443E6"/>
    <w:rsid w:val="00444551"/>
    <w:rsid w:val="00444D32"/>
    <w:rsid w:val="00457558"/>
    <w:rsid w:val="00461522"/>
    <w:rsid w:val="00461B08"/>
    <w:rsid w:val="004636E7"/>
    <w:rsid w:val="00465DBD"/>
    <w:rsid w:val="00466DC0"/>
    <w:rsid w:val="004706E7"/>
    <w:rsid w:val="004740D6"/>
    <w:rsid w:val="00474E91"/>
    <w:rsid w:val="00476C3C"/>
    <w:rsid w:val="00477D6B"/>
    <w:rsid w:val="004821AD"/>
    <w:rsid w:val="00484C87"/>
    <w:rsid w:val="0048799A"/>
    <w:rsid w:val="00490CEC"/>
    <w:rsid w:val="004955F5"/>
    <w:rsid w:val="004A341E"/>
    <w:rsid w:val="004A7EA9"/>
    <w:rsid w:val="004B2926"/>
    <w:rsid w:val="004B29C8"/>
    <w:rsid w:val="004B5698"/>
    <w:rsid w:val="004B62D7"/>
    <w:rsid w:val="004C5A1D"/>
    <w:rsid w:val="004D4055"/>
    <w:rsid w:val="004D4EB7"/>
    <w:rsid w:val="004D517E"/>
    <w:rsid w:val="004E192E"/>
    <w:rsid w:val="004E24F5"/>
    <w:rsid w:val="004E2DED"/>
    <w:rsid w:val="004F675A"/>
    <w:rsid w:val="004F7C0C"/>
    <w:rsid w:val="00505810"/>
    <w:rsid w:val="005101FF"/>
    <w:rsid w:val="00510BBF"/>
    <w:rsid w:val="00512449"/>
    <w:rsid w:val="00512BAB"/>
    <w:rsid w:val="005214C2"/>
    <w:rsid w:val="00523790"/>
    <w:rsid w:val="00524B9F"/>
    <w:rsid w:val="005250D9"/>
    <w:rsid w:val="0053443E"/>
    <w:rsid w:val="00536301"/>
    <w:rsid w:val="00540911"/>
    <w:rsid w:val="00541383"/>
    <w:rsid w:val="00542058"/>
    <w:rsid w:val="00543728"/>
    <w:rsid w:val="00546415"/>
    <w:rsid w:val="0055076E"/>
    <w:rsid w:val="00550ED7"/>
    <w:rsid w:val="00556229"/>
    <w:rsid w:val="0055680C"/>
    <w:rsid w:val="00556AF5"/>
    <w:rsid w:val="0055763C"/>
    <w:rsid w:val="005708F7"/>
    <w:rsid w:val="00571B0A"/>
    <w:rsid w:val="0057465A"/>
    <w:rsid w:val="00577985"/>
    <w:rsid w:val="005810D0"/>
    <w:rsid w:val="0058326D"/>
    <w:rsid w:val="00590E4C"/>
    <w:rsid w:val="00592656"/>
    <w:rsid w:val="00595B71"/>
    <w:rsid w:val="005977CB"/>
    <w:rsid w:val="005A2FA9"/>
    <w:rsid w:val="005A72DD"/>
    <w:rsid w:val="005B0805"/>
    <w:rsid w:val="005B3017"/>
    <w:rsid w:val="005B5A67"/>
    <w:rsid w:val="005C097E"/>
    <w:rsid w:val="005C45B9"/>
    <w:rsid w:val="005C5536"/>
    <w:rsid w:val="005D4A76"/>
    <w:rsid w:val="005F0339"/>
    <w:rsid w:val="005F43C5"/>
    <w:rsid w:val="005F7202"/>
    <w:rsid w:val="006018C1"/>
    <w:rsid w:val="006046A9"/>
    <w:rsid w:val="00606326"/>
    <w:rsid w:val="00607633"/>
    <w:rsid w:val="00607D86"/>
    <w:rsid w:val="00611E27"/>
    <w:rsid w:val="00612483"/>
    <w:rsid w:val="00613D1A"/>
    <w:rsid w:val="0061611A"/>
    <w:rsid w:val="00616969"/>
    <w:rsid w:val="006170F1"/>
    <w:rsid w:val="00621F57"/>
    <w:rsid w:val="00625620"/>
    <w:rsid w:val="00626186"/>
    <w:rsid w:val="00626DD6"/>
    <w:rsid w:val="006270E6"/>
    <w:rsid w:val="006363BB"/>
    <w:rsid w:val="00637D5B"/>
    <w:rsid w:val="00645809"/>
    <w:rsid w:val="00645820"/>
    <w:rsid w:val="006470C1"/>
    <w:rsid w:val="006556CA"/>
    <w:rsid w:val="00660A03"/>
    <w:rsid w:val="00660C39"/>
    <w:rsid w:val="00660E4A"/>
    <w:rsid w:val="006650C5"/>
    <w:rsid w:val="00670342"/>
    <w:rsid w:val="00677EAF"/>
    <w:rsid w:val="0068619A"/>
    <w:rsid w:val="00691E54"/>
    <w:rsid w:val="00692140"/>
    <w:rsid w:val="006932E6"/>
    <w:rsid w:val="006970E2"/>
    <w:rsid w:val="00697C8A"/>
    <w:rsid w:val="006A32F0"/>
    <w:rsid w:val="006A352A"/>
    <w:rsid w:val="006A3E3A"/>
    <w:rsid w:val="006B0E99"/>
    <w:rsid w:val="006B13B9"/>
    <w:rsid w:val="006B1687"/>
    <w:rsid w:val="006B4F43"/>
    <w:rsid w:val="006C15E8"/>
    <w:rsid w:val="006C1779"/>
    <w:rsid w:val="006C2F02"/>
    <w:rsid w:val="006E618F"/>
    <w:rsid w:val="006F2921"/>
    <w:rsid w:val="006F4923"/>
    <w:rsid w:val="006F6558"/>
    <w:rsid w:val="007032EF"/>
    <w:rsid w:val="00703D0A"/>
    <w:rsid w:val="00703FE7"/>
    <w:rsid w:val="0071018A"/>
    <w:rsid w:val="007134D0"/>
    <w:rsid w:val="00717FAC"/>
    <w:rsid w:val="00720C8A"/>
    <w:rsid w:val="00720E93"/>
    <w:rsid w:val="00721D13"/>
    <w:rsid w:val="0072539F"/>
    <w:rsid w:val="00726DDC"/>
    <w:rsid w:val="00730D05"/>
    <w:rsid w:val="00732437"/>
    <w:rsid w:val="007364FB"/>
    <w:rsid w:val="0073679B"/>
    <w:rsid w:val="007415BF"/>
    <w:rsid w:val="00745525"/>
    <w:rsid w:val="00746138"/>
    <w:rsid w:val="00746639"/>
    <w:rsid w:val="007507AB"/>
    <w:rsid w:val="00755710"/>
    <w:rsid w:val="0075617F"/>
    <w:rsid w:val="00765F6F"/>
    <w:rsid w:val="00772D5D"/>
    <w:rsid w:val="00773C71"/>
    <w:rsid w:val="00777A54"/>
    <w:rsid w:val="00784DF5"/>
    <w:rsid w:val="0078708D"/>
    <w:rsid w:val="00790703"/>
    <w:rsid w:val="007961A7"/>
    <w:rsid w:val="007964AA"/>
    <w:rsid w:val="007A2211"/>
    <w:rsid w:val="007A5806"/>
    <w:rsid w:val="007A7B9C"/>
    <w:rsid w:val="007B7AA0"/>
    <w:rsid w:val="007C0AC0"/>
    <w:rsid w:val="007C4BC0"/>
    <w:rsid w:val="007C5539"/>
    <w:rsid w:val="007C6256"/>
    <w:rsid w:val="007D56F5"/>
    <w:rsid w:val="007D5A72"/>
    <w:rsid w:val="007E14BF"/>
    <w:rsid w:val="007E2541"/>
    <w:rsid w:val="007E3406"/>
    <w:rsid w:val="007E4AE1"/>
    <w:rsid w:val="007F1270"/>
    <w:rsid w:val="00800DE4"/>
    <w:rsid w:val="0080382D"/>
    <w:rsid w:val="00804ED2"/>
    <w:rsid w:val="00806F7B"/>
    <w:rsid w:val="008153A8"/>
    <w:rsid w:val="008159D2"/>
    <w:rsid w:val="00823F0E"/>
    <w:rsid w:val="00825F82"/>
    <w:rsid w:val="0083022D"/>
    <w:rsid w:val="00831CCA"/>
    <w:rsid w:val="00832CA4"/>
    <w:rsid w:val="008413A6"/>
    <w:rsid w:val="008436EC"/>
    <w:rsid w:val="00844373"/>
    <w:rsid w:val="00844CDC"/>
    <w:rsid w:val="00845217"/>
    <w:rsid w:val="0084653F"/>
    <w:rsid w:val="0085201A"/>
    <w:rsid w:val="00852D89"/>
    <w:rsid w:val="0085332E"/>
    <w:rsid w:val="008559B8"/>
    <w:rsid w:val="008562AB"/>
    <w:rsid w:val="0086339F"/>
    <w:rsid w:val="008636B4"/>
    <w:rsid w:val="008637B8"/>
    <w:rsid w:val="00864890"/>
    <w:rsid w:val="008703CA"/>
    <w:rsid w:val="00877E09"/>
    <w:rsid w:val="00883265"/>
    <w:rsid w:val="008855F8"/>
    <w:rsid w:val="00885ABF"/>
    <w:rsid w:val="008877C6"/>
    <w:rsid w:val="00890D32"/>
    <w:rsid w:val="008911A6"/>
    <w:rsid w:val="008945CB"/>
    <w:rsid w:val="0089466C"/>
    <w:rsid w:val="008A6E4F"/>
    <w:rsid w:val="008B0C8B"/>
    <w:rsid w:val="008B2B9C"/>
    <w:rsid w:val="008B2BCA"/>
    <w:rsid w:val="008B2DB3"/>
    <w:rsid w:val="008B3902"/>
    <w:rsid w:val="008B3FF4"/>
    <w:rsid w:val="008B4518"/>
    <w:rsid w:val="008B7E86"/>
    <w:rsid w:val="008C054D"/>
    <w:rsid w:val="008C062A"/>
    <w:rsid w:val="008C083B"/>
    <w:rsid w:val="008C282E"/>
    <w:rsid w:val="008C35B5"/>
    <w:rsid w:val="008C765E"/>
    <w:rsid w:val="008E1E40"/>
    <w:rsid w:val="008E3204"/>
    <w:rsid w:val="008E51E1"/>
    <w:rsid w:val="008E6298"/>
    <w:rsid w:val="008E7D1B"/>
    <w:rsid w:val="008E7FF1"/>
    <w:rsid w:val="008F43D0"/>
    <w:rsid w:val="008F44EC"/>
    <w:rsid w:val="008F74FB"/>
    <w:rsid w:val="00906DAD"/>
    <w:rsid w:val="00912F8E"/>
    <w:rsid w:val="00913616"/>
    <w:rsid w:val="00914624"/>
    <w:rsid w:val="00914ED1"/>
    <w:rsid w:val="00914F21"/>
    <w:rsid w:val="00922B88"/>
    <w:rsid w:val="009241CE"/>
    <w:rsid w:val="00927AE3"/>
    <w:rsid w:val="00937E47"/>
    <w:rsid w:val="00947EB4"/>
    <w:rsid w:val="00955DCF"/>
    <w:rsid w:val="00957B82"/>
    <w:rsid w:val="009637CE"/>
    <w:rsid w:val="00967F95"/>
    <w:rsid w:val="00972E7F"/>
    <w:rsid w:val="00975D55"/>
    <w:rsid w:val="009828B5"/>
    <w:rsid w:val="00985A4B"/>
    <w:rsid w:val="00986DF6"/>
    <w:rsid w:val="00987A23"/>
    <w:rsid w:val="009A7CBB"/>
    <w:rsid w:val="009A7FF1"/>
    <w:rsid w:val="009B020F"/>
    <w:rsid w:val="009C0E4D"/>
    <w:rsid w:val="009C1570"/>
    <w:rsid w:val="009C2411"/>
    <w:rsid w:val="009C7FB0"/>
    <w:rsid w:val="009D5657"/>
    <w:rsid w:val="009D6C30"/>
    <w:rsid w:val="009D7CF5"/>
    <w:rsid w:val="009E3BBA"/>
    <w:rsid w:val="009E57CB"/>
    <w:rsid w:val="009F212E"/>
    <w:rsid w:val="009F40AE"/>
    <w:rsid w:val="009F4BC9"/>
    <w:rsid w:val="009F57C7"/>
    <w:rsid w:val="00A01458"/>
    <w:rsid w:val="00A04AD0"/>
    <w:rsid w:val="00A05E54"/>
    <w:rsid w:val="00A0677C"/>
    <w:rsid w:val="00A1159C"/>
    <w:rsid w:val="00A12C65"/>
    <w:rsid w:val="00A21899"/>
    <w:rsid w:val="00A23108"/>
    <w:rsid w:val="00A24C3D"/>
    <w:rsid w:val="00A27FBB"/>
    <w:rsid w:val="00A3281B"/>
    <w:rsid w:val="00A33EDD"/>
    <w:rsid w:val="00A36639"/>
    <w:rsid w:val="00A37968"/>
    <w:rsid w:val="00A422CF"/>
    <w:rsid w:val="00A43CF8"/>
    <w:rsid w:val="00A46B36"/>
    <w:rsid w:val="00A47D71"/>
    <w:rsid w:val="00A55E00"/>
    <w:rsid w:val="00A712EE"/>
    <w:rsid w:val="00A81823"/>
    <w:rsid w:val="00A8520F"/>
    <w:rsid w:val="00A86410"/>
    <w:rsid w:val="00A93599"/>
    <w:rsid w:val="00A974BF"/>
    <w:rsid w:val="00A97C88"/>
    <w:rsid w:val="00AA307D"/>
    <w:rsid w:val="00AA3317"/>
    <w:rsid w:val="00AA39ED"/>
    <w:rsid w:val="00AB1D48"/>
    <w:rsid w:val="00AB3D56"/>
    <w:rsid w:val="00AB4FD9"/>
    <w:rsid w:val="00AB5281"/>
    <w:rsid w:val="00AC0405"/>
    <w:rsid w:val="00AC768F"/>
    <w:rsid w:val="00AD2D7D"/>
    <w:rsid w:val="00AD58DC"/>
    <w:rsid w:val="00AD6F41"/>
    <w:rsid w:val="00AE2B9C"/>
    <w:rsid w:val="00AE2C67"/>
    <w:rsid w:val="00AF335E"/>
    <w:rsid w:val="00AF480C"/>
    <w:rsid w:val="00B01025"/>
    <w:rsid w:val="00B01C2D"/>
    <w:rsid w:val="00B040DE"/>
    <w:rsid w:val="00B0553D"/>
    <w:rsid w:val="00B124E3"/>
    <w:rsid w:val="00B12992"/>
    <w:rsid w:val="00B12C4D"/>
    <w:rsid w:val="00B1342F"/>
    <w:rsid w:val="00B13F79"/>
    <w:rsid w:val="00B161AA"/>
    <w:rsid w:val="00B16B11"/>
    <w:rsid w:val="00B206D0"/>
    <w:rsid w:val="00B2082F"/>
    <w:rsid w:val="00B2484F"/>
    <w:rsid w:val="00B30A03"/>
    <w:rsid w:val="00B30EA4"/>
    <w:rsid w:val="00B323AB"/>
    <w:rsid w:val="00B40B39"/>
    <w:rsid w:val="00B4496A"/>
    <w:rsid w:val="00B45813"/>
    <w:rsid w:val="00B45F22"/>
    <w:rsid w:val="00B53F29"/>
    <w:rsid w:val="00B545C8"/>
    <w:rsid w:val="00B55CD4"/>
    <w:rsid w:val="00B563C5"/>
    <w:rsid w:val="00B66FF9"/>
    <w:rsid w:val="00B67DC6"/>
    <w:rsid w:val="00B67F39"/>
    <w:rsid w:val="00B70EB0"/>
    <w:rsid w:val="00B71864"/>
    <w:rsid w:val="00B77FA1"/>
    <w:rsid w:val="00B8459D"/>
    <w:rsid w:val="00B9337A"/>
    <w:rsid w:val="00B9492F"/>
    <w:rsid w:val="00B9700A"/>
    <w:rsid w:val="00BA226B"/>
    <w:rsid w:val="00BA2F31"/>
    <w:rsid w:val="00BA46C8"/>
    <w:rsid w:val="00BA7439"/>
    <w:rsid w:val="00BB1DD2"/>
    <w:rsid w:val="00BB6292"/>
    <w:rsid w:val="00BD336A"/>
    <w:rsid w:val="00BD3CE4"/>
    <w:rsid w:val="00BD5D3F"/>
    <w:rsid w:val="00BD69C0"/>
    <w:rsid w:val="00BE4A48"/>
    <w:rsid w:val="00BE4E3D"/>
    <w:rsid w:val="00BE52D5"/>
    <w:rsid w:val="00BE6694"/>
    <w:rsid w:val="00BE6B33"/>
    <w:rsid w:val="00BE6FBB"/>
    <w:rsid w:val="00BF0841"/>
    <w:rsid w:val="00BF10E0"/>
    <w:rsid w:val="00BF48A6"/>
    <w:rsid w:val="00BF4FD9"/>
    <w:rsid w:val="00C0023A"/>
    <w:rsid w:val="00C0076E"/>
    <w:rsid w:val="00C024B4"/>
    <w:rsid w:val="00C07828"/>
    <w:rsid w:val="00C078A0"/>
    <w:rsid w:val="00C10316"/>
    <w:rsid w:val="00C10FA1"/>
    <w:rsid w:val="00C249FA"/>
    <w:rsid w:val="00C26E20"/>
    <w:rsid w:val="00C277A0"/>
    <w:rsid w:val="00C363EF"/>
    <w:rsid w:val="00C446C1"/>
    <w:rsid w:val="00C71026"/>
    <w:rsid w:val="00C72EAB"/>
    <w:rsid w:val="00C76B8E"/>
    <w:rsid w:val="00C8033B"/>
    <w:rsid w:val="00C80C6C"/>
    <w:rsid w:val="00C81AF0"/>
    <w:rsid w:val="00C8235C"/>
    <w:rsid w:val="00C82F57"/>
    <w:rsid w:val="00C83E25"/>
    <w:rsid w:val="00C8572D"/>
    <w:rsid w:val="00C86E61"/>
    <w:rsid w:val="00C92DF4"/>
    <w:rsid w:val="00CA4E5E"/>
    <w:rsid w:val="00CB23BC"/>
    <w:rsid w:val="00CB6CCA"/>
    <w:rsid w:val="00CC5AB0"/>
    <w:rsid w:val="00CC6025"/>
    <w:rsid w:val="00CE236B"/>
    <w:rsid w:val="00CE4D4B"/>
    <w:rsid w:val="00CF0EBF"/>
    <w:rsid w:val="00D046D0"/>
    <w:rsid w:val="00D0475D"/>
    <w:rsid w:val="00D051D3"/>
    <w:rsid w:val="00D07F7E"/>
    <w:rsid w:val="00D105F7"/>
    <w:rsid w:val="00D12566"/>
    <w:rsid w:val="00D12774"/>
    <w:rsid w:val="00D20806"/>
    <w:rsid w:val="00D2142F"/>
    <w:rsid w:val="00D22334"/>
    <w:rsid w:val="00D22C7E"/>
    <w:rsid w:val="00D23767"/>
    <w:rsid w:val="00D25557"/>
    <w:rsid w:val="00D27233"/>
    <w:rsid w:val="00D273C0"/>
    <w:rsid w:val="00D27483"/>
    <w:rsid w:val="00D274D3"/>
    <w:rsid w:val="00D27C21"/>
    <w:rsid w:val="00D33807"/>
    <w:rsid w:val="00D36FFD"/>
    <w:rsid w:val="00D371D0"/>
    <w:rsid w:val="00D41974"/>
    <w:rsid w:val="00D41CCA"/>
    <w:rsid w:val="00D44250"/>
    <w:rsid w:val="00D44EF1"/>
    <w:rsid w:val="00D507A4"/>
    <w:rsid w:val="00D51A33"/>
    <w:rsid w:val="00D56C8F"/>
    <w:rsid w:val="00D57207"/>
    <w:rsid w:val="00D5741E"/>
    <w:rsid w:val="00D60877"/>
    <w:rsid w:val="00D64955"/>
    <w:rsid w:val="00D66035"/>
    <w:rsid w:val="00D6714B"/>
    <w:rsid w:val="00D67314"/>
    <w:rsid w:val="00D75901"/>
    <w:rsid w:val="00D76211"/>
    <w:rsid w:val="00D83928"/>
    <w:rsid w:val="00D83A14"/>
    <w:rsid w:val="00D90671"/>
    <w:rsid w:val="00D912CC"/>
    <w:rsid w:val="00D96096"/>
    <w:rsid w:val="00DA6707"/>
    <w:rsid w:val="00DB149B"/>
    <w:rsid w:val="00DC0FEB"/>
    <w:rsid w:val="00DD1CD2"/>
    <w:rsid w:val="00DE72F9"/>
    <w:rsid w:val="00DF4CCE"/>
    <w:rsid w:val="00DF6F0A"/>
    <w:rsid w:val="00E14DE5"/>
    <w:rsid w:val="00E17770"/>
    <w:rsid w:val="00E20DD2"/>
    <w:rsid w:val="00E21371"/>
    <w:rsid w:val="00E228E6"/>
    <w:rsid w:val="00E3566F"/>
    <w:rsid w:val="00E37C0D"/>
    <w:rsid w:val="00E40CFF"/>
    <w:rsid w:val="00E46DAE"/>
    <w:rsid w:val="00E5174B"/>
    <w:rsid w:val="00E54726"/>
    <w:rsid w:val="00E5768C"/>
    <w:rsid w:val="00E67D71"/>
    <w:rsid w:val="00E70719"/>
    <w:rsid w:val="00E70AD5"/>
    <w:rsid w:val="00E76628"/>
    <w:rsid w:val="00E829C2"/>
    <w:rsid w:val="00E8665B"/>
    <w:rsid w:val="00E86957"/>
    <w:rsid w:val="00E87267"/>
    <w:rsid w:val="00E9309A"/>
    <w:rsid w:val="00E96CA5"/>
    <w:rsid w:val="00EA1202"/>
    <w:rsid w:val="00EA72C3"/>
    <w:rsid w:val="00EB2069"/>
    <w:rsid w:val="00EB33A9"/>
    <w:rsid w:val="00EB6DA5"/>
    <w:rsid w:val="00EC2388"/>
    <w:rsid w:val="00EC3E56"/>
    <w:rsid w:val="00EC5B61"/>
    <w:rsid w:val="00EC6556"/>
    <w:rsid w:val="00ED024B"/>
    <w:rsid w:val="00ED2046"/>
    <w:rsid w:val="00ED3EF5"/>
    <w:rsid w:val="00ED5F6B"/>
    <w:rsid w:val="00EE286C"/>
    <w:rsid w:val="00EE2F1D"/>
    <w:rsid w:val="00EF0935"/>
    <w:rsid w:val="00EF1B15"/>
    <w:rsid w:val="00EF20A8"/>
    <w:rsid w:val="00F0364C"/>
    <w:rsid w:val="00F050C6"/>
    <w:rsid w:val="00F116D9"/>
    <w:rsid w:val="00F13B4D"/>
    <w:rsid w:val="00F15F1D"/>
    <w:rsid w:val="00F178F3"/>
    <w:rsid w:val="00F208DE"/>
    <w:rsid w:val="00F23730"/>
    <w:rsid w:val="00F23B0A"/>
    <w:rsid w:val="00F26AEF"/>
    <w:rsid w:val="00F2785D"/>
    <w:rsid w:val="00F308D9"/>
    <w:rsid w:val="00F31AFF"/>
    <w:rsid w:val="00F41AD3"/>
    <w:rsid w:val="00F44CD0"/>
    <w:rsid w:val="00F46215"/>
    <w:rsid w:val="00F470D3"/>
    <w:rsid w:val="00F47C5E"/>
    <w:rsid w:val="00F50DDD"/>
    <w:rsid w:val="00F56476"/>
    <w:rsid w:val="00F601FD"/>
    <w:rsid w:val="00F60709"/>
    <w:rsid w:val="00F664C0"/>
    <w:rsid w:val="00F67875"/>
    <w:rsid w:val="00F711C1"/>
    <w:rsid w:val="00F820A9"/>
    <w:rsid w:val="00F82548"/>
    <w:rsid w:val="00F839C5"/>
    <w:rsid w:val="00F87A09"/>
    <w:rsid w:val="00F91616"/>
    <w:rsid w:val="00F91F57"/>
    <w:rsid w:val="00F953F1"/>
    <w:rsid w:val="00F965E3"/>
    <w:rsid w:val="00F9717A"/>
    <w:rsid w:val="00F9737F"/>
    <w:rsid w:val="00FA091A"/>
    <w:rsid w:val="00FA7961"/>
    <w:rsid w:val="00FB1805"/>
    <w:rsid w:val="00FB4505"/>
    <w:rsid w:val="00FB5F6B"/>
    <w:rsid w:val="00FB7C4B"/>
    <w:rsid w:val="00FC040E"/>
    <w:rsid w:val="00FC311B"/>
    <w:rsid w:val="00FC6520"/>
    <w:rsid w:val="00FD10B8"/>
    <w:rsid w:val="00FD21F9"/>
    <w:rsid w:val="00FD36F7"/>
    <w:rsid w:val="00FE79B6"/>
    <w:rsid w:val="00FF2E9C"/>
    <w:rsid w:val="00FF56C1"/>
    <w:rsid w:val="00FF642D"/>
    <w:rsid w:val="00FF72D6"/>
    <w:rsid w:val="0EC6A1DD"/>
    <w:rsid w:val="0F45C4AF"/>
    <w:rsid w:val="11128EF5"/>
    <w:rsid w:val="15FD850E"/>
    <w:rsid w:val="1799556F"/>
    <w:rsid w:val="1CB41FDF"/>
    <w:rsid w:val="1EBAEDFA"/>
    <w:rsid w:val="2521845E"/>
    <w:rsid w:val="26A604CB"/>
    <w:rsid w:val="26EE436E"/>
    <w:rsid w:val="27B09BB7"/>
    <w:rsid w:val="288A13CF"/>
    <w:rsid w:val="2A25E430"/>
    <w:rsid w:val="2B21758F"/>
    <w:rsid w:val="2B82BA38"/>
    <w:rsid w:val="2D5D84F2"/>
    <w:rsid w:val="30694B1E"/>
    <w:rsid w:val="3598DA95"/>
    <w:rsid w:val="35FF696E"/>
    <w:rsid w:val="39FE77A5"/>
    <w:rsid w:val="3F687B61"/>
    <w:rsid w:val="456D7FCA"/>
    <w:rsid w:val="46202FF3"/>
    <w:rsid w:val="5986E1D1"/>
    <w:rsid w:val="601608C8"/>
    <w:rsid w:val="60B96D83"/>
    <w:rsid w:val="62B1E9E2"/>
    <w:rsid w:val="6589A460"/>
    <w:rsid w:val="733AAF8F"/>
    <w:rsid w:val="7DD4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AC06"/>
  <w15:docId w15:val="{1D5C8230-038E-4A23-8746-61F48BED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1F1B"/>
    <w:pPr>
      <w:numPr>
        <w:numId w:val="19"/>
      </w:numPr>
      <w:spacing w:before="5" w:after="120" w:line="240" w:lineRule="auto"/>
      <w:ind w:right="-187"/>
      <w:outlineLvl w:val="0"/>
    </w:pPr>
    <w:rPr>
      <w:rFonts w:ascii="Trade Gothic Next Rounded" w:hAnsi="Trade Gothic Next Rounded" w:cs="Arial"/>
      <w:b/>
      <w:bCs/>
      <w:color w:val="030303"/>
      <w:w w:val="105"/>
      <w:sz w:val="24"/>
      <w:szCs w:val="24"/>
    </w:rPr>
  </w:style>
  <w:style w:type="paragraph" w:styleId="Heading2">
    <w:name w:val="heading 2"/>
    <w:basedOn w:val="ListParagraph"/>
    <w:next w:val="Normal"/>
    <w:link w:val="Heading2Char"/>
    <w:uiPriority w:val="9"/>
    <w:unhideWhenUsed/>
    <w:qFormat/>
    <w:rsid w:val="00C81AF0"/>
    <w:pPr>
      <w:numPr>
        <w:numId w:val="20"/>
      </w:numPr>
      <w:spacing w:before="5" w:after="0" w:line="240" w:lineRule="auto"/>
      <w:ind w:right="-180"/>
      <w:outlineLvl w:val="1"/>
    </w:pPr>
    <w:rPr>
      <w:rFonts w:ascii="Trade Gothic Next" w:hAnsi="Trade Gothic Next" w:cs="Arial"/>
      <w:b/>
      <w:bCs/>
      <w:i/>
      <w:iCs/>
      <w:color w:val="030303"/>
      <w:w w:val="105"/>
      <w:sz w:val="24"/>
      <w:szCs w:val="24"/>
    </w:rPr>
  </w:style>
  <w:style w:type="paragraph" w:styleId="Heading3">
    <w:name w:val="heading 3"/>
    <w:basedOn w:val="Normal"/>
    <w:next w:val="Normal"/>
    <w:link w:val="Heading3Char"/>
    <w:uiPriority w:val="9"/>
    <w:semiHidden/>
    <w:unhideWhenUsed/>
    <w:qFormat/>
    <w:rsid w:val="007415B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7AB"/>
    <w:rPr>
      <w:rFonts w:ascii="Tahoma" w:hAnsi="Tahoma" w:cs="Tahoma"/>
      <w:sz w:val="16"/>
      <w:szCs w:val="16"/>
    </w:rPr>
  </w:style>
  <w:style w:type="paragraph" w:styleId="Header">
    <w:name w:val="header"/>
    <w:basedOn w:val="Normal"/>
    <w:link w:val="HeaderChar"/>
    <w:uiPriority w:val="99"/>
    <w:unhideWhenUsed/>
    <w:rsid w:val="00375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90E"/>
  </w:style>
  <w:style w:type="paragraph" w:styleId="Footer">
    <w:name w:val="footer"/>
    <w:basedOn w:val="Normal"/>
    <w:link w:val="FooterChar"/>
    <w:uiPriority w:val="99"/>
    <w:unhideWhenUsed/>
    <w:rsid w:val="00375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90E"/>
  </w:style>
  <w:style w:type="character" w:styleId="Hyperlink">
    <w:name w:val="Hyperlink"/>
    <w:basedOn w:val="DefaultParagraphFont"/>
    <w:uiPriority w:val="99"/>
    <w:unhideWhenUsed/>
    <w:rsid w:val="00571B0A"/>
    <w:rPr>
      <w:color w:val="0000FF" w:themeColor="hyperlink"/>
      <w:u w:val="single"/>
    </w:rPr>
  </w:style>
  <w:style w:type="paragraph" w:styleId="ListParagraph">
    <w:name w:val="List Paragraph"/>
    <w:basedOn w:val="Normal"/>
    <w:uiPriority w:val="1"/>
    <w:qFormat/>
    <w:rsid w:val="005708F7"/>
    <w:pPr>
      <w:ind w:left="720"/>
      <w:contextualSpacing/>
    </w:pPr>
  </w:style>
  <w:style w:type="paragraph" w:styleId="BodyText">
    <w:name w:val="Body Text"/>
    <w:basedOn w:val="Normal"/>
    <w:link w:val="BodyTextChar"/>
    <w:uiPriority w:val="1"/>
    <w:qFormat/>
    <w:rsid w:val="00F664C0"/>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F664C0"/>
    <w:rPr>
      <w:rFonts w:ascii="Arial" w:eastAsia="Arial" w:hAnsi="Arial" w:cs="Arial"/>
      <w:sz w:val="20"/>
      <w:szCs w:val="20"/>
    </w:rPr>
  </w:style>
  <w:style w:type="character" w:styleId="UnresolvedMention">
    <w:name w:val="Unresolved Mention"/>
    <w:basedOn w:val="DefaultParagraphFont"/>
    <w:uiPriority w:val="99"/>
    <w:semiHidden/>
    <w:unhideWhenUsed/>
    <w:rsid w:val="008B0C8B"/>
    <w:rPr>
      <w:color w:val="605E5C"/>
      <w:shd w:val="clear" w:color="auto" w:fill="E1DFDD"/>
    </w:rPr>
  </w:style>
  <w:style w:type="character" w:styleId="FollowedHyperlink">
    <w:name w:val="FollowedHyperlink"/>
    <w:basedOn w:val="DefaultParagraphFont"/>
    <w:uiPriority w:val="99"/>
    <w:semiHidden/>
    <w:unhideWhenUsed/>
    <w:rsid w:val="008636B4"/>
    <w:rPr>
      <w:color w:val="800080" w:themeColor="followedHyperlink"/>
      <w:u w:val="single"/>
    </w:rPr>
  </w:style>
  <w:style w:type="paragraph" w:styleId="Revision">
    <w:name w:val="Revision"/>
    <w:hidden/>
    <w:uiPriority w:val="99"/>
    <w:semiHidden/>
    <w:rsid w:val="00F965E3"/>
    <w:pPr>
      <w:spacing w:after="0" w:line="240" w:lineRule="auto"/>
    </w:pPr>
  </w:style>
  <w:style w:type="character" w:styleId="CommentReference">
    <w:name w:val="annotation reference"/>
    <w:basedOn w:val="DefaultParagraphFont"/>
    <w:uiPriority w:val="99"/>
    <w:semiHidden/>
    <w:unhideWhenUsed/>
    <w:rsid w:val="00F965E3"/>
    <w:rPr>
      <w:sz w:val="16"/>
      <w:szCs w:val="16"/>
    </w:rPr>
  </w:style>
  <w:style w:type="paragraph" w:styleId="CommentText">
    <w:name w:val="annotation text"/>
    <w:basedOn w:val="Normal"/>
    <w:link w:val="CommentTextChar"/>
    <w:uiPriority w:val="99"/>
    <w:unhideWhenUsed/>
    <w:rsid w:val="00F965E3"/>
    <w:pPr>
      <w:spacing w:line="240" w:lineRule="auto"/>
    </w:pPr>
    <w:rPr>
      <w:sz w:val="20"/>
      <w:szCs w:val="20"/>
    </w:rPr>
  </w:style>
  <w:style w:type="character" w:customStyle="1" w:styleId="CommentTextChar">
    <w:name w:val="Comment Text Char"/>
    <w:basedOn w:val="DefaultParagraphFont"/>
    <w:link w:val="CommentText"/>
    <w:uiPriority w:val="99"/>
    <w:rsid w:val="00F965E3"/>
    <w:rPr>
      <w:sz w:val="20"/>
      <w:szCs w:val="20"/>
    </w:rPr>
  </w:style>
  <w:style w:type="paragraph" w:styleId="CommentSubject">
    <w:name w:val="annotation subject"/>
    <w:basedOn w:val="CommentText"/>
    <w:next w:val="CommentText"/>
    <w:link w:val="CommentSubjectChar"/>
    <w:uiPriority w:val="99"/>
    <w:semiHidden/>
    <w:unhideWhenUsed/>
    <w:rsid w:val="00F965E3"/>
    <w:rPr>
      <w:b/>
      <w:bCs/>
    </w:rPr>
  </w:style>
  <w:style w:type="character" w:customStyle="1" w:styleId="CommentSubjectChar">
    <w:name w:val="Comment Subject Char"/>
    <w:basedOn w:val="CommentTextChar"/>
    <w:link w:val="CommentSubject"/>
    <w:uiPriority w:val="99"/>
    <w:semiHidden/>
    <w:rsid w:val="00F965E3"/>
    <w:rPr>
      <w:b/>
      <w:bCs/>
      <w:sz w:val="20"/>
      <w:szCs w:val="20"/>
    </w:rPr>
  </w:style>
  <w:style w:type="table" w:styleId="TableGrid">
    <w:name w:val="Table Grid"/>
    <w:basedOn w:val="TableNormal"/>
    <w:uiPriority w:val="59"/>
    <w:rsid w:val="005A7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416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16FF"/>
    <w:rPr>
      <w:sz w:val="20"/>
      <w:szCs w:val="20"/>
    </w:rPr>
  </w:style>
  <w:style w:type="character" w:styleId="FootnoteReference">
    <w:name w:val="footnote reference"/>
    <w:basedOn w:val="DefaultParagraphFont"/>
    <w:uiPriority w:val="99"/>
    <w:semiHidden/>
    <w:unhideWhenUsed/>
    <w:rsid w:val="003416FF"/>
    <w:rPr>
      <w:vertAlign w:val="superscript"/>
    </w:rPr>
  </w:style>
  <w:style w:type="character" w:customStyle="1" w:styleId="Heading1Char">
    <w:name w:val="Heading 1 Char"/>
    <w:basedOn w:val="DefaultParagraphFont"/>
    <w:link w:val="Heading1"/>
    <w:uiPriority w:val="9"/>
    <w:rsid w:val="00061F1B"/>
    <w:rPr>
      <w:rFonts w:ascii="Trade Gothic Next Rounded" w:hAnsi="Trade Gothic Next Rounded" w:cs="Arial"/>
      <w:b/>
      <w:bCs/>
      <w:color w:val="030303"/>
      <w:w w:val="105"/>
      <w:sz w:val="24"/>
      <w:szCs w:val="24"/>
    </w:rPr>
  </w:style>
  <w:style w:type="character" w:customStyle="1" w:styleId="Heading2Char">
    <w:name w:val="Heading 2 Char"/>
    <w:basedOn w:val="DefaultParagraphFont"/>
    <w:link w:val="Heading2"/>
    <w:uiPriority w:val="9"/>
    <w:rsid w:val="00C81AF0"/>
    <w:rPr>
      <w:rFonts w:ascii="Trade Gothic Next" w:hAnsi="Trade Gothic Next" w:cs="Arial"/>
      <w:b/>
      <w:bCs/>
      <w:i/>
      <w:iCs/>
      <w:color w:val="030303"/>
      <w:w w:val="105"/>
      <w:sz w:val="24"/>
      <w:szCs w:val="24"/>
    </w:rPr>
  </w:style>
  <w:style w:type="character" w:customStyle="1" w:styleId="Heading3Char">
    <w:name w:val="Heading 3 Char"/>
    <w:basedOn w:val="DefaultParagraphFont"/>
    <w:link w:val="Heading3"/>
    <w:uiPriority w:val="9"/>
    <w:semiHidden/>
    <w:rsid w:val="007415BF"/>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6161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ed">
    <w:name w:val="selected"/>
    <w:basedOn w:val="DefaultParagraphFont"/>
    <w:rsid w:val="00616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3187">
      <w:bodyDiv w:val="1"/>
      <w:marLeft w:val="0"/>
      <w:marRight w:val="0"/>
      <w:marTop w:val="0"/>
      <w:marBottom w:val="0"/>
      <w:divBdr>
        <w:top w:val="none" w:sz="0" w:space="0" w:color="auto"/>
        <w:left w:val="none" w:sz="0" w:space="0" w:color="auto"/>
        <w:bottom w:val="none" w:sz="0" w:space="0" w:color="auto"/>
        <w:right w:val="none" w:sz="0" w:space="0" w:color="auto"/>
      </w:divBdr>
    </w:div>
    <w:div w:id="112287243">
      <w:bodyDiv w:val="1"/>
      <w:marLeft w:val="0"/>
      <w:marRight w:val="0"/>
      <w:marTop w:val="0"/>
      <w:marBottom w:val="0"/>
      <w:divBdr>
        <w:top w:val="none" w:sz="0" w:space="0" w:color="auto"/>
        <w:left w:val="none" w:sz="0" w:space="0" w:color="auto"/>
        <w:bottom w:val="none" w:sz="0" w:space="0" w:color="auto"/>
        <w:right w:val="none" w:sz="0" w:space="0" w:color="auto"/>
      </w:divBdr>
    </w:div>
    <w:div w:id="673726685">
      <w:bodyDiv w:val="1"/>
      <w:marLeft w:val="0"/>
      <w:marRight w:val="0"/>
      <w:marTop w:val="0"/>
      <w:marBottom w:val="0"/>
      <w:divBdr>
        <w:top w:val="none" w:sz="0" w:space="0" w:color="auto"/>
        <w:left w:val="none" w:sz="0" w:space="0" w:color="auto"/>
        <w:bottom w:val="none" w:sz="0" w:space="0" w:color="auto"/>
        <w:right w:val="none" w:sz="0" w:space="0" w:color="auto"/>
      </w:divBdr>
    </w:div>
    <w:div w:id="740909559">
      <w:bodyDiv w:val="1"/>
      <w:marLeft w:val="0"/>
      <w:marRight w:val="0"/>
      <w:marTop w:val="0"/>
      <w:marBottom w:val="0"/>
      <w:divBdr>
        <w:top w:val="none" w:sz="0" w:space="0" w:color="auto"/>
        <w:left w:val="none" w:sz="0" w:space="0" w:color="auto"/>
        <w:bottom w:val="none" w:sz="0" w:space="0" w:color="auto"/>
        <w:right w:val="none" w:sz="0" w:space="0" w:color="auto"/>
      </w:divBdr>
    </w:div>
    <w:div w:id="807479201">
      <w:bodyDiv w:val="1"/>
      <w:marLeft w:val="0"/>
      <w:marRight w:val="0"/>
      <w:marTop w:val="0"/>
      <w:marBottom w:val="0"/>
      <w:divBdr>
        <w:top w:val="none" w:sz="0" w:space="0" w:color="auto"/>
        <w:left w:val="none" w:sz="0" w:space="0" w:color="auto"/>
        <w:bottom w:val="none" w:sz="0" w:space="0" w:color="auto"/>
        <w:right w:val="none" w:sz="0" w:space="0" w:color="auto"/>
      </w:divBdr>
    </w:div>
    <w:div w:id="851264065">
      <w:bodyDiv w:val="1"/>
      <w:marLeft w:val="0"/>
      <w:marRight w:val="0"/>
      <w:marTop w:val="0"/>
      <w:marBottom w:val="0"/>
      <w:divBdr>
        <w:top w:val="none" w:sz="0" w:space="0" w:color="auto"/>
        <w:left w:val="none" w:sz="0" w:space="0" w:color="auto"/>
        <w:bottom w:val="none" w:sz="0" w:space="0" w:color="auto"/>
        <w:right w:val="none" w:sz="0" w:space="0" w:color="auto"/>
      </w:divBdr>
    </w:div>
    <w:div w:id="928852594">
      <w:bodyDiv w:val="1"/>
      <w:marLeft w:val="0"/>
      <w:marRight w:val="0"/>
      <w:marTop w:val="0"/>
      <w:marBottom w:val="0"/>
      <w:divBdr>
        <w:top w:val="none" w:sz="0" w:space="0" w:color="auto"/>
        <w:left w:val="none" w:sz="0" w:space="0" w:color="auto"/>
        <w:bottom w:val="none" w:sz="0" w:space="0" w:color="auto"/>
        <w:right w:val="none" w:sz="0" w:space="0" w:color="auto"/>
      </w:divBdr>
    </w:div>
    <w:div w:id="952128256">
      <w:bodyDiv w:val="1"/>
      <w:marLeft w:val="0"/>
      <w:marRight w:val="0"/>
      <w:marTop w:val="0"/>
      <w:marBottom w:val="0"/>
      <w:divBdr>
        <w:top w:val="none" w:sz="0" w:space="0" w:color="auto"/>
        <w:left w:val="none" w:sz="0" w:space="0" w:color="auto"/>
        <w:bottom w:val="none" w:sz="0" w:space="0" w:color="auto"/>
        <w:right w:val="none" w:sz="0" w:space="0" w:color="auto"/>
      </w:divBdr>
    </w:div>
    <w:div w:id="1094594872">
      <w:bodyDiv w:val="1"/>
      <w:marLeft w:val="0"/>
      <w:marRight w:val="0"/>
      <w:marTop w:val="0"/>
      <w:marBottom w:val="0"/>
      <w:divBdr>
        <w:top w:val="none" w:sz="0" w:space="0" w:color="auto"/>
        <w:left w:val="none" w:sz="0" w:space="0" w:color="auto"/>
        <w:bottom w:val="none" w:sz="0" w:space="0" w:color="auto"/>
        <w:right w:val="none" w:sz="0" w:space="0" w:color="auto"/>
      </w:divBdr>
    </w:div>
    <w:div w:id="1294022093">
      <w:bodyDiv w:val="1"/>
      <w:marLeft w:val="0"/>
      <w:marRight w:val="0"/>
      <w:marTop w:val="0"/>
      <w:marBottom w:val="0"/>
      <w:divBdr>
        <w:top w:val="none" w:sz="0" w:space="0" w:color="auto"/>
        <w:left w:val="none" w:sz="0" w:space="0" w:color="auto"/>
        <w:bottom w:val="none" w:sz="0" w:space="0" w:color="auto"/>
        <w:right w:val="none" w:sz="0" w:space="0" w:color="auto"/>
      </w:divBdr>
    </w:div>
    <w:div w:id="175473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an@crookcountyor.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73470ba-977a-4e60-9f32-8bedbd2814b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EDC68A80D00FD4D891405C3DBEEFB86" ma:contentTypeVersion="14" ma:contentTypeDescription="Create a new document." ma:contentTypeScope="" ma:versionID="540671e070f5093764b0cbad0575c288">
  <xsd:schema xmlns:xsd="http://www.w3.org/2001/XMLSchema" xmlns:xs="http://www.w3.org/2001/XMLSchema" xmlns:p="http://schemas.microsoft.com/office/2006/metadata/properties" xmlns:ns3="f0d72495-1c28-4766-9743-abbff1bc0ea4" xmlns:ns4="e73470ba-977a-4e60-9f32-8bedbd2814bb" targetNamespace="http://schemas.microsoft.com/office/2006/metadata/properties" ma:root="true" ma:fieldsID="b469bfce636df9a180e4eda65ee72b86" ns3:_="" ns4:_="">
    <xsd:import namespace="f0d72495-1c28-4766-9743-abbff1bc0ea4"/>
    <xsd:import namespace="e73470ba-977a-4e60-9f32-8bedbd2814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DateTake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72495-1c28-4766-9743-abbff1bc0e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3470ba-977a-4e60-9f32-8bedbd2814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1BC05D-3D0B-43B0-8D43-4D5B0CAB2939}">
  <ds:schemaRefs>
    <ds:schemaRef ds:uri="http://schemas.microsoft.com/office/2006/metadata/properties"/>
    <ds:schemaRef ds:uri="http://schemas.microsoft.com/office/infopath/2007/PartnerControls"/>
    <ds:schemaRef ds:uri="e73470ba-977a-4e60-9f32-8bedbd2814bb"/>
  </ds:schemaRefs>
</ds:datastoreItem>
</file>

<file path=customXml/itemProps2.xml><?xml version="1.0" encoding="utf-8"?>
<ds:datastoreItem xmlns:ds="http://schemas.openxmlformats.org/officeDocument/2006/customXml" ds:itemID="{210D029D-08C3-43E2-86FB-3442FF0551C8}">
  <ds:schemaRefs>
    <ds:schemaRef ds:uri="http://schemas.openxmlformats.org/officeDocument/2006/bibliography"/>
  </ds:schemaRefs>
</ds:datastoreItem>
</file>

<file path=customXml/itemProps3.xml><?xml version="1.0" encoding="utf-8"?>
<ds:datastoreItem xmlns:ds="http://schemas.openxmlformats.org/officeDocument/2006/customXml" ds:itemID="{2409E7C5-F7F0-4F5C-9D2E-8000EACEE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72495-1c28-4766-9743-abbff1bc0ea4"/>
    <ds:schemaRef ds:uri="e73470ba-977a-4e60-9f32-8bedbd281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7A0AD9-07D4-45F6-80E5-DC4202949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Kowalski</dc:creator>
  <cp:keywords/>
  <cp:lastModifiedBy>John Eisler</cp:lastModifiedBy>
  <cp:revision>4</cp:revision>
  <cp:lastPrinted>2025-09-29T17:49:00Z</cp:lastPrinted>
  <dcterms:created xsi:type="dcterms:W3CDTF">2025-09-29T17:11:00Z</dcterms:created>
  <dcterms:modified xsi:type="dcterms:W3CDTF">2025-09-29T19:10:00Z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0x0101007EDC68A80D00FD4D891405C3DBEEFB86</vt:lpwstr>
  </property>
</Properties>
</file>